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5C5F93" w14:textId="5C7A6853" w:rsidR="00660339" w:rsidRPr="005B064D" w:rsidRDefault="00660339" w:rsidP="005B064D">
      <w:pPr>
        <w:ind w:left="6663"/>
        <w:rPr>
          <w:rStyle w:val="25pt"/>
          <w:rFonts w:eastAsia="Microsoft Sans Serif"/>
          <w:sz w:val="22"/>
          <w:szCs w:val="20"/>
        </w:rPr>
      </w:pPr>
      <w:r w:rsidRPr="005B064D">
        <w:rPr>
          <w:rStyle w:val="25pt"/>
          <w:rFonts w:eastAsia="Microsoft Sans Serif"/>
          <w:sz w:val="22"/>
          <w:szCs w:val="20"/>
        </w:rPr>
        <w:t xml:space="preserve">Приложение </w:t>
      </w:r>
      <w:r w:rsidR="00751E33">
        <w:rPr>
          <w:rStyle w:val="25pt"/>
          <w:rFonts w:eastAsia="Microsoft Sans Serif"/>
          <w:sz w:val="22"/>
          <w:szCs w:val="20"/>
        </w:rPr>
        <w:t>3</w:t>
      </w:r>
    </w:p>
    <w:p w14:paraId="7CCB503B" w14:textId="77777777" w:rsidR="00660339" w:rsidRPr="005B064D" w:rsidRDefault="00660339" w:rsidP="005B064D">
      <w:pPr>
        <w:ind w:left="6663"/>
        <w:rPr>
          <w:rStyle w:val="25pt"/>
          <w:rFonts w:eastAsia="Microsoft Sans Serif"/>
          <w:sz w:val="22"/>
          <w:szCs w:val="20"/>
        </w:rPr>
      </w:pPr>
      <w:r w:rsidRPr="005B064D">
        <w:rPr>
          <w:rStyle w:val="25pt"/>
          <w:rFonts w:eastAsia="Microsoft Sans Serif"/>
          <w:sz w:val="22"/>
          <w:szCs w:val="20"/>
        </w:rPr>
        <w:t>к приказу управы</w:t>
      </w:r>
    </w:p>
    <w:p w14:paraId="1ED1F2BA" w14:textId="5E300FFF" w:rsidR="00660339" w:rsidRPr="00154F3F" w:rsidRDefault="00660339" w:rsidP="005B064D">
      <w:pPr>
        <w:ind w:left="6663"/>
        <w:rPr>
          <w:rStyle w:val="25pt"/>
          <w:rFonts w:eastAsia="Microsoft Sans Serif"/>
          <w:sz w:val="22"/>
          <w:szCs w:val="20"/>
        </w:rPr>
      </w:pPr>
      <w:bookmarkStart w:id="0" w:name="_GoBack"/>
      <w:r w:rsidRPr="005B064D">
        <w:rPr>
          <w:rStyle w:val="25pt"/>
          <w:rFonts w:eastAsia="Microsoft Sans Serif"/>
          <w:sz w:val="22"/>
          <w:szCs w:val="20"/>
        </w:rPr>
        <w:t xml:space="preserve">от </w:t>
      </w:r>
      <w:bookmarkEnd w:id="0"/>
      <w:r w:rsidRPr="005B064D">
        <w:rPr>
          <w:rStyle w:val="25pt"/>
          <w:rFonts w:eastAsia="Microsoft Sans Serif"/>
          <w:sz w:val="22"/>
          <w:szCs w:val="20"/>
        </w:rPr>
        <w:t>«</w:t>
      </w:r>
      <w:r w:rsidR="00886196" w:rsidRPr="00886196">
        <w:rPr>
          <w:rStyle w:val="25pt"/>
          <w:rFonts w:eastAsia="Microsoft Sans Serif"/>
          <w:sz w:val="22"/>
          <w:szCs w:val="20"/>
        </w:rPr>
        <w:t>20</w:t>
      </w:r>
      <w:r w:rsidRPr="00886196">
        <w:rPr>
          <w:rStyle w:val="25pt"/>
          <w:rFonts w:eastAsia="Microsoft Sans Serif"/>
          <w:sz w:val="22"/>
          <w:szCs w:val="20"/>
        </w:rPr>
        <w:t xml:space="preserve">» марта </w:t>
      </w:r>
      <w:r w:rsidR="00F8666A">
        <w:rPr>
          <w:rStyle w:val="25pt"/>
          <w:rFonts w:eastAsia="Microsoft Sans Serif"/>
          <w:sz w:val="22"/>
          <w:szCs w:val="20"/>
        </w:rPr>
        <w:t>2025</w:t>
      </w:r>
      <w:r w:rsidRPr="00886196">
        <w:rPr>
          <w:rStyle w:val="25pt"/>
          <w:rFonts w:eastAsia="Microsoft Sans Serif"/>
          <w:sz w:val="22"/>
          <w:szCs w:val="20"/>
        </w:rPr>
        <w:t xml:space="preserve"> г. № </w:t>
      </w:r>
      <w:r w:rsidR="00F8666A">
        <w:rPr>
          <w:rStyle w:val="25pt"/>
          <w:rFonts w:eastAsia="Microsoft Sans Serif"/>
          <w:sz w:val="22"/>
          <w:szCs w:val="20"/>
        </w:rPr>
        <w:t>37</w:t>
      </w:r>
    </w:p>
    <w:p w14:paraId="775996D1" w14:textId="77777777" w:rsidR="007944CE" w:rsidRPr="007944CE" w:rsidRDefault="007944CE" w:rsidP="007944CE">
      <w:pPr>
        <w:pStyle w:val="40"/>
        <w:shd w:val="clear" w:color="auto" w:fill="auto"/>
        <w:spacing w:before="0" w:after="0" w:line="240" w:lineRule="auto"/>
        <w:ind w:left="5670" w:firstLine="0"/>
        <w:jc w:val="center"/>
        <w:rPr>
          <w:b w:val="0"/>
          <w:sz w:val="24"/>
          <w:szCs w:val="24"/>
        </w:rPr>
      </w:pPr>
    </w:p>
    <w:p w14:paraId="42FBDA8B" w14:textId="77777777" w:rsidR="007944CE" w:rsidRPr="00535A78" w:rsidRDefault="007944CE" w:rsidP="00A77AEA">
      <w:pPr>
        <w:pStyle w:val="40"/>
        <w:shd w:val="clear" w:color="auto" w:fill="auto"/>
        <w:spacing w:before="0" w:after="0" w:line="240" w:lineRule="auto"/>
        <w:ind w:firstLine="0"/>
        <w:jc w:val="center"/>
        <w:rPr>
          <w:sz w:val="28"/>
          <w:szCs w:val="28"/>
        </w:rPr>
      </w:pPr>
    </w:p>
    <w:p w14:paraId="24139254" w14:textId="0571766E" w:rsidR="002E167C" w:rsidRPr="00535A78" w:rsidRDefault="00F66B25" w:rsidP="00A77AEA">
      <w:pPr>
        <w:pStyle w:val="40"/>
        <w:shd w:val="clear" w:color="auto" w:fill="auto"/>
        <w:spacing w:before="0" w:after="0" w:line="240" w:lineRule="auto"/>
        <w:ind w:firstLine="0"/>
        <w:jc w:val="center"/>
        <w:rPr>
          <w:sz w:val="28"/>
          <w:szCs w:val="28"/>
        </w:rPr>
      </w:pPr>
      <w:r w:rsidRPr="00535A78">
        <w:rPr>
          <w:sz w:val="28"/>
          <w:szCs w:val="28"/>
        </w:rPr>
        <w:t>Методика расчета ключевых показателей эффективности</w:t>
      </w:r>
      <w:r w:rsidRPr="00535A78">
        <w:rPr>
          <w:sz w:val="28"/>
          <w:szCs w:val="28"/>
        </w:rPr>
        <w:br/>
        <w:t xml:space="preserve">функционирования </w:t>
      </w:r>
      <w:r w:rsidR="001B0F61">
        <w:rPr>
          <w:sz w:val="28"/>
          <w:szCs w:val="28"/>
        </w:rPr>
        <w:t xml:space="preserve">на </w:t>
      </w:r>
      <w:r w:rsidR="00F8666A">
        <w:rPr>
          <w:sz w:val="28"/>
          <w:szCs w:val="28"/>
        </w:rPr>
        <w:t>2025</w:t>
      </w:r>
      <w:r w:rsidR="001B0F61">
        <w:rPr>
          <w:sz w:val="28"/>
          <w:szCs w:val="28"/>
        </w:rPr>
        <w:t xml:space="preserve"> год </w:t>
      </w:r>
      <w:r w:rsidRPr="00535A78">
        <w:rPr>
          <w:sz w:val="28"/>
          <w:szCs w:val="28"/>
        </w:rPr>
        <w:t xml:space="preserve">в </w:t>
      </w:r>
      <w:r w:rsidR="00A77AEA" w:rsidRPr="00535A78">
        <w:rPr>
          <w:sz w:val="28"/>
          <w:szCs w:val="28"/>
        </w:rPr>
        <w:t xml:space="preserve">управе района </w:t>
      </w:r>
      <w:r w:rsidR="00154F3F">
        <w:rPr>
          <w:sz w:val="28"/>
          <w:szCs w:val="28"/>
        </w:rPr>
        <w:t>Измайлово</w:t>
      </w:r>
      <w:r w:rsidR="00A77AEA" w:rsidRPr="00535A78">
        <w:rPr>
          <w:sz w:val="28"/>
          <w:szCs w:val="28"/>
        </w:rPr>
        <w:t xml:space="preserve"> </w:t>
      </w:r>
      <w:r w:rsidRPr="00535A78">
        <w:rPr>
          <w:sz w:val="28"/>
          <w:szCs w:val="28"/>
        </w:rPr>
        <w:t>города Москвы</w:t>
      </w:r>
      <w:r w:rsidR="001B0F61">
        <w:rPr>
          <w:sz w:val="28"/>
          <w:szCs w:val="28"/>
        </w:rPr>
        <w:t xml:space="preserve"> </w:t>
      </w:r>
      <w:r w:rsidRPr="00535A78">
        <w:rPr>
          <w:sz w:val="28"/>
          <w:szCs w:val="28"/>
        </w:rPr>
        <w:t>антимонопольного комплаенса</w:t>
      </w:r>
    </w:p>
    <w:p w14:paraId="1DE17437" w14:textId="77777777" w:rsidR="00A77AEA" w:rsidRPr="00535A78" w:rsidRDefault="00A77AEA" w:rsidP="00A77AEA">
      <w:pPr>
        <w:pStyle w:val="40"/>
        <w:shd w:val="clear" w:color="auto" w:fill="auto"/>
        <w:spacing w:before="0" w:after="0" w:line="240" w:lineRule="auto"/>
        <w:ind w:firstLine="0"/>
        <w:jc w:val="center"/>
        <w:rPr>
          <w:sz w:val="28"/>
          <w:szCs w:val="28"/>
        </w:rPr>
      </w:pPr>
    </w:p>
    <w:p w14:paraId="6D341155" w14:textId="348EAE80" w:rsidR="002E167C" w:rsidRDefault="00F66B25" w:rsidP="00A77AEA">
      <w:pPr>
        <w:pStyle w:val="40"/>
        <w:shd w:val="clear" w:color="auto" w:fill="auto"/>
        <w:spacing w:before="0" w:after="0" w:line="240" w:lineRule="auto"/>
        <w:ind w:firstLine="0"/>
        <w:jc w:val="center"/>
        <w:rPr>
          <w:sz w:val="28"/>
          <w:szCs w:val="28"/>
        </w:rPr>
      </w:pPr>
      <w:r w:rsidRPr="00535A78">
        <w:rPr>
          <w:sz w:val="28"/>
          <w:szCs w:val="28"/>
        </w:rPr>
        <w:t xml:space="preserve">I. Для </w:t>
      </w:r>
      <w:r w:rsidR="0085419E">
        <w:rPr>
          <w:sz w:val="28"/>
          <w:szCs w:val="28"/>
        </w:rPr>
        <w:t xml:space="preserve">управы района </w:t>
      </w:r>
      <w:r w:rsidR="00154F3F">
        <w:rPr>
          <w:sz w:val="28"/>
          <w:szCs w:val="28"/>
        </w:rPr>
        <w:t>Измайлово</w:t>
      </w:r>
      <w:r w:rsidRPr="00535A78">
        <w:rPr>
          <w:sz w:val="28"/>
          <w:szCs w:val="28"/>
        </w:rPr>
        <w:t xml:space="preserve"> города Москвы в целом</w:t>
      </w:r>
    </w:p>
    <w:p w14:paraId="0189E24B" w14:textId="77777777" w:rsidR="00535A78" w:rsidRPr="00535A78" w:rsidRDefault="00535A78" w:rsidP="00A77AEA">
      <w:pPr>
        <w:pStyle w:val="40"/>
        <w:shd w:val="clear" w:color="auto" w:fill="auto"/>
        <w:spacing w:before="0" w:after="0" w:line="240" w:lineRule="auto"/>
        <w:ind w:firstLine="0"/>
        <w:jc w:val="center"/>
        <w:rPr>
          <w:sz w:val="8"/>
          <w:szCs w:val="28"/>
        </w:rPr>
      </w:pPr>
    </w:p>
    <w:p w14:paraId="21BB06D4" w14:textId="23B13E0C" w:rsidR="002E167C" w:rsidRPr="00535A78" w:rsidRDefault="00535A78" w:rsidP="00535A78">
      <w:pPr>
        <w:pStyle w:val="20"/>
        <w:numPr>
          <w:ilvl w:val="0"/>
          <w:numId w:val="1"/>
        </w:numPr>
        <w:shd w:val="clear" w:color="auto" w:fill="auto"/>
        <w:tabs>
          <w:tab w:val="left" w:pos="851"/>
          <w:tab w:val="left" w:pos="1134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66B25" w:rsidRPr="00535A78">
        <w:rPr>
          <w:sz w:val="28"/>
          <w:szCs w:val="28"/>
        </w:rPr>
        <w:t xml:space="preserve">Ключевыми показателями эффективности антимонопольного комплаенса (далее - КПЭ) для </w:t>
      </w:r>
      <w:r w:rsidR="00B64CD1">
        <w:rPr>
          <w:sz w:val="28"/>
          <w:szCs w:val="28"/>
        </w:rPr>
        <w:t xml:space="preserve">управы района </w:t>
      </w:r>
      <w:r w:rsidR="00154F3F">
        <w:rPr>
          <w:sz w:val="28"/>
          <w:szCs w:val="28"/>
        </w:rPr>
        <w:t>Измайлово</w:t>
      </w:r>
      <w:r w:rsidR="00B64CD1" w:rsidRPr="00535A78">
        <w:rPr>
          <w:sz w:val="28"/>
          <w:szCs w:val="28"/>
        </w:rPr>
        <w:t xml:space="preserve"> </w:t>
      </w:r>
      <w:r w:rsidR="00F66B25" w:rsidRPr="00535A78">
        <w:rPr>
          <w:sz w:val="28"/>
          <w:szCs w:val="28"/>
        </w:rPr>
        <w:t>города Москвы в целом являются:</w:t>
      </w:r>
    </w:p>
    <w:p w14:paraId="1F01B39B" w14:textId="3AF8405F" w:rsidR="002E167C" w:rsidRPr="00535A78" w:rsidRDefault="00F66B25" w:rsidP="00535A78">
      <w:pPr>
        <w:pStyle w:val="20"/>
        <w:shd w:val="clear" w:color="auto" w:fill="auto"/>
        <w:tabs>
          <w:tab w:val="left" w:pos="851"/>
          <w:tab w:val="left" w:pos="1134"/>
          <w:tab w:val="left" w:pos="1207"/>
        </w:tabs>
        <w:spacing w:before="0" w:line="240" w:lineRule="auto"/>
        <w:ind w:firstLine="709"/>
        <w:rPr>
          <w:sz w:val="28"/>
          <w:szCs w:val="28"/>
        </w:rPr>
      </w:pPr>
      <w:r w:rsidRPr="00535A78">
        <w:rPr>
          <w:sz w:val="28"/>
          <w:szCs w:val="28"/>
        </w:rPr>
        <w:t>а)</w:t>
      </w:r>
      <w:r w:rsidRPr="00535A78">
        <w:rPr>
          <w:sz w:val="28"/>
          <w:szCs w:val="28"/>
        </w:rPr>
        <w:tab/>
        <w:t xml:space="preserve">коэффициент снижения количества нарушений антимонопольного законодательства со стороны </w:t>
      </w:r>
      <w:r w:rsidR="00B64CD1">
        <w:rPr>
          <w:sz w:val="28"/>
          <w:szCs w:val="28"/>
        </w:rPr>
        <w:t xml:space="preserve">управы района </w:t>
      </w:r>
      <w:r w:rsidR="00154F3F">
        <w:rPr>
          <w:sz w:val="28"/>
          <w:szCs w:val="28"/>
        </w:rPr>
        <w:t>Измайлово</w:t>
      </w:r>
      <w:r w:rsidR="00B64CD1" w:rsidRPr="00535A78">
        <w:rPr>
          <w:sz w:val="28"/>
          <w:szCs w:val="28"/>
        </w:rPr>
        <w:t xml:space="preserve"> </w:t>
      </w:r>
      <w:r w:rsidRPr="00535A78">
        <w:rPr>
          <w:sz w:val="28"/>
          <w:szCs w:val="28"/>
        </w:rPr>
        <w:t>города Москвы;</w:t>
      </w:r>
    </w:p>
    <w:p w14:paraId="1F541651" w14:textId="49911835" w:rsidR="002E167C" w:rsidRPr="00535A78" w:rsidRDefault="00F66B25" w:rsidP="00535A78">
      <w:pPr>
        <w:pStyle w:val="20"/>
        <w:shd w:val="clear" w:color="auto" w:fill="auto"/>
        <w:tabs>
          <w:tab w:val="left" w:pos="851"/>
          <w:tab w:val="left" w:pos="1134"/>
          <w:tab w:val="left" w:pos="1208"/>
        </w:tabs>
        <w:spacing w:before="0" w:line="240" w:lineRule="auto"/>
        <w:ind w:firstLine="709"/>
        <w:rPr>
          <w:sz w:val="28"/>
          <w:szCs w:val="28"/>
        </w:rPr>
      </w:pPr>
      <w:r w:rsidRPr="00535A78">
        <w:rPr>
          <w:sz w:val="28"/>
          <w:szCs w:val="28"/>
        </w:rPr>
        <w:t>б)</w:t>
      </w:r>
      <w:r w:rsidRPr="00535A78">
        <w:rPr>
          <w:sz w:val="28"/>
          <w:szCs w:val="28"/>
        </w:rPr>
        <w:tab/>
        <w:t xml:space="preserve">доля проектов правовых актов </w:t>
      </w:r>
      <w:r w:rsidR="00B64CD1">
        <w:rPr>
          <w:sz w:val="28"/>
          <w:szCs w:val="28"/>
        </w:rPr>
        <w:t xml:space="preserve">управы района </w:t>
      </w:r>
      <w:r w:rsidR="00154F3F">
        <w:rPr>
          <w:sz w:val="28"/>
          <w:szCs w:val="28"/>
        </w:rPr>
        <w:t>Измайлово</w:t>
      </w:r>
      <w:r w:rsidR="00B64CD1" w:rsidRPr="00535A78">
        <w:rPr>
          <w:sz w:val="28"/>
          <w:szCs w:val="28"/>
        </w:rPr>
        <w:t xml:space="preserve"> </w:t>
      </w:r>
      <w:r w:rsidRPr="00535A78">
        <w:rPr>
          <w:sz w:val="28"/>
          <w:szCs w:val="28"/>
        </w:rPr>
        <w:t>города Москвы, в которых выявлены риски нарушения антимонопольного законодательства;</w:t>
      </w:r>
    </w:p>
    <w:p w14:paraId="77E8EAD1" w14:textId="53B7069F" w:rsidR="00B76059" w:rsidRPr="00535A78" w:rsidRDefault="00F66B25" w:rsidP="00535A78">
      <w:pPr>
        <w:pStyle w:val="20"/>
        <w:shd w:val="clear" w:color="auto" w:fill="auto"/>
        <w:tabs>
          <w:tab w:val="left" w:pos="851"/>
          <w:tab w:val="left" w:pos="1134"/>
          <w:tab w:val="left" w:pos="1208"/>
        </w:tabs>
        <w:spacing w:before="0" w:line="240" w:lineRule="auto"/>
        <w:ind w:firstLine="709"/>
        <w:rPr>
          <w:sz w:val="28"/>
          <w:szCs w:val="28"/>
        </w:rPr>
      </w:pPr>
      <w:r w:rsidRPr="00535A78">
        <w:rPr>
          <w:sz w:val="28"/>
          <w:szCs w:val="28"/>
        </w:rPr>
        <w:t>в)</w:t>
      </w:r>
      <w:r w:rsidRPr="00535A78">
        <w:rPr>
          <w:sz w:val="28"/>
          <w:szCs w:val="28"/>
        </w:rPr>
        <w:tab/>
        <w:t xml:space="preserve">доля правовых актов </w:t>
      </w:r>
      <w:r w:rsidR="00B64CD1">
        <w:rPr>
          <w:sz w:val="28"/>
          <w:szCs w:val="28"/>
        </w:rPr>
        <w:t xml:space="preserve">управы района </w:t>
      </w:r>
      <w:r w:rsidR="00154F3F">
        <w:rPr>
          <w:sz w:val="28"/>
          <w:szCs w:val="28"/>
        </w:rPr>
        <w:t>Измайлово</w:t>
      </w:r>
      <w:r w:rsidR="00B64CD1" w:rsidRPr="00535A78">
        <w:rPr>
          <w:sz w:val="28"/>
          <w:szCs w:val="28"/>
        </w:rPr>
        <w:t xml:space="preserve"> </w:t>
      </w:r>
      <w:r w:rsidRPr="00535A78">
        <w:rPr>
          <w:sz w:val="28"/>
          <w:szCs w:val="28"/>
        </w:rPr>
        <w:t>города Москвы, в которых выявлены риски нарушения антимонопольного законодательства.</w:t>
      </w:r>
    </w:p>
    <w:p w14:paraId="3D853DC3" w14:textId="3BD9650B" w:rsidR="00B76059" w:rsidRPr="00535A78" w:rsidRDefault="00B76059" w:rsidP="00535A78">
      <w:pPr>
        <w:pStyle w:val="20"/>
        <w:shd w:val="clear" w:color="auto" w:fill="auto"/>
        <w:tabs>
          <w:tab w:val="left" w:pos="851"/>
          <w:tab w:val="left" w:pos="1134"/>
          <w:tab w:val="left" w:pos="1208"/>
        </w:tabs>
        <w:spacing w:before="0" w:line="240" w:lineRule="auto"/>
        <w:ind w:firstLine="709"/>
        <w:rPr>
          <w:sz w:val="28"/>
          <w:szCs w:val="28"/>
        </w:rPr>
      </w:pPr>
      <w:r w:rsidRPr="00535A78">
        <w:rPr>
          <w:color w:val="auto"/>
          <w:sz w:val="28"/>
          <w:szCs w:val="28"/>
          <w:lang w:bidi="ar-SA"/>
        </w:rPr>
        <w:t>1.2.</w:t>
      </w:r>
      <w:r w:rsidRPr="00535A78">
        <w:rPr>
          <w:color w:val="auto"/>
          <w:sz w:val="28"/>
          <w:szCs w:val="28"/>
          <w:lang w:bidi="ar-SA"/>
        </w:rPr>
        <w:tab/>
      </w:r>
      <w:r w:rsidR="00535A78">
        <w:rPr>
          <w:color w:val="auto"/>
          <w:sz w:val="28"/>
          <w:szCs w:val="28"/>
          <w:lang w:bidi="ar-SA"/>
        </w:rPr>
        <w:t xml:space="preserve"> </w:t>
      </w:r>
      <w:r w:rsidRPr="00535A78">
        <w:rPr>
          <w:color w:val="auto"/>
          <w:sz w:val="28"/>
          <w:szCs w:val="28"/>
          <w:lang w:bidi="ar-SA"/>
        </w:rPr>
        <w:t xml:space="preserve">Коэффициент снижения количества нарушений антимонопольного законодательства со стороны </w:t>
      </w:r>
      <w:r w:rsidR="00B64CD1">
        <w:rPr>
          <w:sz w:val="28"/>
          <w:szCs w:val="28"/>
        </w:rPr>
        <w:t xml:space="preserve">управы района </w:t>
      </w:r>
      <w:r w:rsidR="00154F3F">
        <w:rPr>
          <w:sz w:val="28"/>
          <w:szCs w:val="28"/>
        </w:rPr>
        <w:t>Измайлово</w:t>
      </w:r>
      <w:r w:rsidR="00B64CD1" w:rsidRPr="00535A78">
        <w:rPr>
          <w:sz w:val="28"/>
          <w:szCs w:val="28"/>
        </w:rPr>
        <w:t xml:space="preserve"> </w:t>
      </w:r>
      <w:r w:rsidRPr="00535A78">
        <w:rPr>
          <w:color w:val="auto"/>
          <w:sz w:val="28"/>
          <w:szCs w:val="28"/>
          <w:lang w:bidi="ar-SA"/>
        </w:rPr>
        <w:t>власти города Москвы рассчитывается по формуле:</w:t>
      </w: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1276"/>
        <w:gridCol w:w="1139"/>
        <w:gridCol w:w="1413"/>
      </w:tblGrid>
      <w:tr w:rsidR="00B76059" w:rsidRPr="00535A78" w14:paraId="360E9D4D" w14:textId="77777777" w:rsidTr="005B064D">
        <w:tc>
          <w:tcPr>
            <w:tcW w:w="1276" w:type="dxa"/>
            <w:vMerge w:val="restart"/>
            <w:vAlign w:val="center"/>
            <w:hideMark/>
          </w:tcPr>
          <w:p w14:paraId="3B9F3E60" w14:textId="77777777" w:rsidR="00B76059" w:rsidRPr="00535A78" w:rsidRDefault="00B76059" w:rsidP="005B064D">
            <w:pPr>
              <w:widowControl/>
              <w:tabs>
                <w:tab w:val="left" w:pos="851"/>
                <w:tab w:val="left" w:pos="1134"/>
              </w:tabs>
              <w:ind w:left="34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535A7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>КСН   =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728CF3A" w14:textId="77777777" w:rsidR="00B76059" w:rsidRPr="00535A78" w:rsidRDefault="00B76059" w:rsidP="00356D40">
            <w:pPr>
              <w:widowControl/>
              <w:tabs>
                <w:tab w:val="left" w:pos="851"/>
                <w:tab w:val="left" w:pos="1134"/>
              </w:tabs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535A7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 xml:space="preserve">КН </w:t>
            </w:r>
            <w:proofErr w:type="spellStart"/>
            <w:r w:rsidRPr="00535A7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vertAlign w:val="subscript"/>
                <w:lang w:bidi="ar-SA"/>
              </w:rPr>
              <w:t>пп</w:t>
            </w:r>
            <w:proofErr w:type="spellEnd"/>
          </w:p>
        </w:tc>
        <w:tc>
          <w:tcPr>
            <w:tcW w:w="1413" w:type="dxa"/>
            <w:vMerge w:val="restart"/>
            <w:vAlign w:val="center"/>
            <w:hideMark/>
          </w:tcPr>
          <w:p w14:paraId="23A2C28F" w14:textId="77777777" w:rsidR="00B76059" w:rsidRPr="00535A78" w:rsidRDefault="00B76059" w:rsidP="00356D40">
            <w:pPr>
              <w:widowControl/>
              <w:tabs>
                <w:tab w:val="left" w:pos="851"/>
                <w:tab w:val="left" w:pos="1134"/>
              </w:tabs>
              <w:jc w:val="both"/>
              <w:rPr>
                <w:rFonts w:ascii="Times New Roman" w:eastAsia="Calibri" w:hAnsi="Times New Roman" w:cs="Times New Roman"/>
                <w:i/>
                <w:color w:val="auto"/>
                <w:sz w:val="28"/>
                <w:szCs w:val="28"/>
                <w:lang w:bidi="ar-SA"/>
              </w:rPr>
            </w:pPr>
            <w:r w:rsidRPr="00535A78">
              <w:rPr>
                <w:rFonts w:ascii="Times New Roman" w:eastAsia="Calibri" w:hAnsi="Times New Roman" w:cs="Times New Roman"/>
                <w:i/>
                <w:color w:val="auto"/>
                <w:sz w:val="28"/>
                <w:szCs w:val="28"/>
                <w:lang w:bidi="ar-SA"/>
              </w:rPr>
              <w:t>, где</w:t>
            </w:r>
          </w:p>
        </w:tc>
      </w:tr>
      <w:tr w:rsidR="00B76059" w:rsidRPr="00535A78" w14:paraId="249F15FD" w14:textId="77777777" w:rsidTr="005B064D">
        <w:tc>
          <w:tcPr>
            <w:tcW w:w="0" w:type="auto"/>
            <w:vMerge/>
            <w:vAlign w:val="center"/>
            <w:hideMark/>
          </w:tcPr>
          <w:p w14:paraId="69B55309" w14:textId="77777777" w:rsidR="00B76059" w:rsidRPr="00535A78" w:rsidRDefault="00B76059" w:rsidP="00535A78">
            <w:pPr>
              <w:widowControl/>
              <w:tabs>
                <w:tab w:val="left" w:pos="851"/>
                <w:tab w:val="left" w:pos="1134"/>
              </w:tabs>
              <w:ind w:firstLine="709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C3F65B8" w14:textId="77777777" w:rsidR="00B76059" w:rsidRPr="00535A78" w:rsidRDefault="00B76059" w:rsidP="00356D40">
            <w:pPr>
              <w:widowControl/>
              <w:tabs>
                <w:tab w:val="left" w:pos="851"/>
                <w:tab w:val="left" w:pos="1134"/>
              </w:tabs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535A7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 xml:space="preserve">КН </w:t>
            </w:r>
            <w:r w:rsidRPr="00535A7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vertAlign w:val="subscript"/>
                <w:lang w:bidi="ar-SA"/>
              </w:rPr>
              <w:t>оп</w:t>
            </w:r>
          </w:p>
        </w:tc>
        <w:tc>
          <w:tcPr>
            <w:tcW w:w="0" w:type="auto"/>
            <w:vMerge/>
            <w:vAlign w:val="center"/>
            <w:hideMark/>
          </w:tcPr>
          <w:p w14:paraId="572E41CC" w14:textId="77777777" w:rsidR="00B76059" w:rsidRPr="00535A78" w:rsidRDefault="00B76059" w:rsidP="00535A78">
            <w:pPr>
              <w:widowControl/>
              <w:tabs>
                <w:tab w:val="left" w:pos="851"/>
                <w:tab w:val="left" w:pos="1134"/>
              </w:tabs>
              <w:ind w:firstLine="709"/>
              <w:rPr>
                <w:rFonts w:ascii="Times New Roman" w:eastAsia="Calibri" w:hAnsi="Times New Roman" w:cs="Times New Roman"/>
                <w:i/>
                <w:color w:val="auto"/>
                <w:sz w:val="28"/>
                <w:szCs w:val="28"/>
                <w:lang w:bidi="ar-SA"/>
              </w:rPr>
            </w:pPr>
          </w:p>
        </w:tc>
      </w:tr>
    </w:tbl>
    <w:p w14:paraId="061B4D73" w14:textId="77777777" w:rsidR="00B76059" w:rsidRPr="00356D40" w:rsidRDefault="00B76059" w:rsidP="00535A78">
      <w:pPr>
        <w:widowControl/>
        <w:tabs>
          <w:tab w:val="left" w:pos="851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14"/>
          <w:szCs w:val="28"/>
          <w:lang w:bidi="ar-SA"/>
        </w:rPr>
      </w:pPr>
    </w:p>
    <w:p w14:paraId="6076F3A4" w14:textId="6C6D0BDB" w:rsidR="00B76059" w:rsidRPr="00535A78" w:rsidRDefault="00B76059" w:rsidP="00535A78">
      <w:pPr>
        <w:widowControl/>
        <w:tabs>
          <w:tab w:val="left" w:pos="851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35A7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КСН – коэффициент снижения количества нарушений антимонопольного законодательства со стороны </w:t>
      </w:r>
      <w:r w:rsidR="00B64CD1" w:rsidRPr="00B64CD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управы района </w:t>
      </w:r>
      <w:r w:rsidR="00154F3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Измайлово</w:t>
      </w:r>
      <w:r w:rsidR="00B64CD1" w:rsidRPr="00B64CD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535A7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города Москвы;</w:t>
      </w:r>
    </w:p>
    <w:p w14:paraId="4E6DC3A1" w14:textId="1B7E2976" w:rsidR="00B76059" w:rsidRPr="00535A78" w:rsidRDefault="00B76059" w:rsidP="00535A78">
      <w:pPr>
        <w:widowControl/>
        <w:tabs>
          <w:tab w:val="left" w:pos="851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35A7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КН </w:t>
      </w:r>
      <w:proofErr w:type="spellStart"/>
      <w:r w:rsidRPr="00535A78">
        <w:rPr>
          <w:rFonts w:ascii="Times New Roman" w:eastAsia="Times New Roman" w:hAnsi="Times New Roman" w:cs="Times New Roman"/>
          <w:color w:val="auto"/>
          <w:sz w:val="28"/>
          <w:szCs w:val="28"/>
          <w:vertAlign w:val="subscript"/>
          <w:lang w:bidi="ar-SA"/>
        </w:rPr>
        <w:t>пп</w:t>
      </w:r>
      <w:proofErr w:type="spellEnd"/>
      <w:r w:rsidRPr="00535A7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– количество нарушений антимонопольного законодательства со стороны </w:t>
      </w:r>
      <w:r w:rsidR="00B64CD1" w:rsidRPr="00B64CD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управы района </w:t>
      </w:r>
      <w:r w:rsidR="00154F3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Измайлово</w:t>
      </w:r>
      <w:r w:rsidR="00B64CD1" w:rsidRPr="00B64CD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535A7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города Москвы в предшествующем периоде;</w:t>
      </w:r>
    </w:p>
    <w:p w14:paraId="63F6C44A" w14:textId="48E8EDCE" w:rsidR="00B76059" w:rsidRPr="00535A78" w:rsidRDefault="00B76059" w:rsidP="00535A78">
      <w:pPr>
        <w:widowControl/>
        <w:tabs>
          <w:tab w:val="left" w:pos="851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35A7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КН </w:t>
      </w:r>
      <w:proofErr w:type="gramStart"/>
      <w:r w:rsidRPr="00535A78">
        <w:rPr>
          <w:rFonts w:ascii="Times New Roman" w:eastAsia="Times New Roman" w:hAnsi="Times New Roman" w:cs="Times New Roman"/>
          <w:color w:val="auto"/>
          <w:sz w:val="28"/>
          <w:szCs w:val="28"/>
          <w:vertAlign w:val="subscript"/>
          <w:lang w:bidi="ar-SA"/>
        </w:rPr>
        <w:t>оп</w:t>
      </w:r>
      <w:proofErr w:type="gramEnd"/>
      <w:r w:rsidRPr="00535A7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– количество нарушений антимонопольного законодательства со стороны </w:t>
      </w:r>
      <w:r w:rsidR="00B64CD1" w:rsidRPr="00B64CD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управы района </w:t>
      </w:r>
      <w:r w:rsidR="00154F3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Измайлово</w:t>
      </w:r>
      <w:r w:rsidR="00B64CD1" w:rsidRPr="00B64CD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535A7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города Москвы в отчетном периоде.</w:t>
      </w:r>
    </w:p>
    <w:p w14:paraId="0CD52BB2" w14:textId="7FF18E7E" w:rsidR="00B76059" w:rsidRPr="00535A78" w:rsidRDefault="00B76059" w:rsidP="00535A78">
      <w:pPr>
        <w:widowControl/>
        <w:tabs>
          <w:tab w:val="left" w:pos="851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35A7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При расчете коэффициента снижения количества нарушений антимонопольного законодательства со стороны </w:t>
      </w:r>
      <w:r w:rsidR="00327CEE" w:rsidRPr="00327CE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управы района </w:t>
      </w:r>
      <w:r w:rsidR="00154F3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Измайлово</w:t>
      </w:r>
      <w:r w:rsidR="00327CEE" w:rsidRPr="00327CE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535A7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города Москвы под нарушением антимонопольного законодательства со стороны органа исполнительной власти города Москвы понимаются:</w:t>
      </w:r>
    </w:p>
    <w:p w14:paraId="68F9F2D9" w14:textId="6A8F4777" w:rsidR="00B76059" w:rsidRPr="00535A78" w:rsidRDefault="00B76059" w:rsidP="00535A78">
      <w:pPr>
        <w:widowControl/>
        <w:tabs>
          <w:tab w:val="left" w:pos="851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35A7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- возбужденные антимонопольным органом в отношении </w:t>
      </w:r>
      <w:r w:rsidR="00327CEE" w:rsidRPr="00327CE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управы района </w:t>
      </w:r>
      <w:r w:rsidR="00154F3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Измайлово</w:t>
      </w:r>
      <w:r w:rsidRPr="00535A7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города Москвы антимонопольные дела;</w:t>
      </w:r>
    </w:p>
    <w:p w14:paraId="57E66EF5" w14:textId="6EB9CEF7" w:rsidR="00B76059" w:rsidRPr="00535A78" w:rsidRDefault="00B76059" w:rsidP="00535A78">
      <w:pPr>
        <w:widowControl/>
        <w:tabs>
          <w:tab w:val="left" w:pos="851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35A7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- выданные антимонопольным органом </w:t>
      </w:r>
      <w:r w:rsidR="00327CEE" w:rsidRPr="00327CE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управ</w:t>
      </w:r>
      <w:r w:rsidR="00327CE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</w:t>
      </w:r>
      <w:r w:rsidR="00327CEE" w:rsidRPr="00327CE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района </w:t>
      </w:r>
      <w:r w:rsidR="00154F3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Измайлово</w:t>
      </w:r>
      <w:r w:rsidRPr="00535A7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города Москвы предупреждения о прекращении действий (бездействия), об отмене или изменении актов, которые содержат признаки нарушения антимонопольного законодательства, либо об устранении причин и условий, способствовавших возникновению такого нарушения, и о принятии мер по устранению последствий такого нарушения;</w:t>
      </w:r>
    </w:p>
    <w:p w14:paraId="3E3B9E12" w14:textId="379E3962" w:rsidR="00B76059" w:rsidRPr="00535A78" w:rsidRDefault="00B76059" w:rsidP="00535A78">
      <w:pPr>
        <w:widowControl/>
        <w:tabs>
          <w:tab w:val="left" w:pos="851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35A7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 xml:space="preserve">- направленные антимонопольным органом </w:t>
      </w:r>
      <w:r w:rsidR="00327CEE" w:rsidRPr="00327CE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управ</w:t>
      </w:r>
      <w:r w:rsidR="00327CE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</w:t>
      </w:r>
      <w:r w:rsidR="00327CEE" w:rsidRPr="00327CE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района </w:t>
      </w:r>
      <w:r w:rsidR="00154F3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Измайлово</w:t>
      </w:r>
      <w:r w:rsidRPr="00535A7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города Москвы предостережения о недопустимости совершения действий, которые могут привести к нарушению антимонопольного законодательства.</w:t>
      </w:r>
    </w:p>
    <w:p w14:paraId="102BF60E" w14:textId="77777777" w:rsidR="002E167C" w:rsidRPr="00535A78" w:rsidRDefault="00B76059" w:rsidP="00535A78">
      <w:pPr>
        <w:pStyle w:val="20"/>
        <w:numPr>
          <w:ilvl w:val="1"/>
          <w:numId w:val="8"/>
        </w:numPr>
        <w:shd w:val="clear" w:color="auto" w:fill="auto"/>
        <w:tabs>
          <w:tab w:val="left" w:pos="851"/>
          <w:tab w:val="left" w:pos="1134"/>
        </w:tabs>
        <w:spacing w:before="0" w:line="240" w:lineRule="auto"/>
        <w:ind w:left="0" w:firstLine="709"/>
        <w:rPr>
          <w:sz w:val="28"/>
          <w:szCs w:val="28"/>
        </w:rPr>
      </w:pPr>
      <w:r w:rsidRPr="00535A78">
        <w:rPr>
          <w:sz w:val="28"/>
          <w:szCs w:val="28"/>
        </w:rPr>
        <w:t xml:space="preserve"> </w:t>
      </w:r>
      <w:r w:rsidR="00F66B25" w:rsidRPr="00535A78">
        <w:rPr>
          <w:sz w:val="28"/>
          <w:szCs w:val="28"/>
        </w:rPr>
        <w:t xml:space="preserve">Доля проектов правовых актов </w:t>
      </w:r>
      <w:r w:rsidR="00B93109" w:rsidRPr="00535A78">
        <w:rPr>
          <w:sz w:val="28"/>
          <w:szCs w:val="28"/>
        </w:rPr>
        <w:t>управы</w:t>
      </w:r>
      <w:r w:rsidR="00F66B25" w:rsidRPr="00535A78">
        <w:rPr>
          <w:sz w:val="28"/>
          <w:szCs w:val="28"/>
        </w:rPr>
        <w:t>, в которых выявлены риски нарушения антимонопольного законодательства, рассчитывается по формуле:</w:t>
      </w:r>
    </w:p>
    <w:tbl>
      <w:tblPr>
        <w:tblW w:w="0" w:type="auto"/>
        <w:tblInd w:w="704" w:type="dxa"/>
        <w:tblLook w:val="04A0" w:firstRow="1" w:lastRow="0" w:firstColumn="1" w:lastColumn="0" w:noHBand="0" w:noVBand="1"/>
      </w:tblPr>
      <w:tblGrid>
        <w:gridCol w:w="1276"/>
        <w:gridCol w:w="1139"/>
        <w:gridCol w:w="1413"/>
      </w:tblGrid>
      <w:tr w:rsidR="00B76059" w:rsidRPr="00535A78" w14:paraId="5C237B6F" w14:textId="77777777" w:rsidTr="00085127">
        <w:tc>
          <w:tcPr>
            <w:tcW w:w="1276" w:type="dxa"/>
            <w:vMerge w:val="restart"/>
            <w:vAlign w:val="center"/>
            <w:hideMark/>
          </w:tcPr>
          <w:p w14:paraId="018B1E94" w14:textId="77777777" w:rsidR="00B76059" w:rsidRPr="00535A78" w:rsidRDefault="00B76059" w:rsidP="00356D40">
            <w:pPr>
              <w:widowControl/>
              <w:tabs>
                <w:tab w:val="left" w:pos="851"/>
                <w:tab w:val="left" w:pos="1134"/>
              </w:tabs>
              <w:ind w:firstLine="5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  <w:proofErr w:type="spellStart"/>
            <w:r w:rsidRPr="00535A7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535A78">
              <w:rPr>
                <w:rStyle w:val="295pt"/>
                <w:rFonts w:eastAsia="Arial Unicode MS"/>
                <w:sz w:val="28"/>
                <w:szCs w:val="28"/>
                <w:vertAlign w:val="subscript"/>
              </w:rPr>
              <w:t>ппа</w:t>
            </w:r>
            <w:proofErr w:type="spellEnd"/>
            <w:r w:rsidRPr="00535A7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 xml:space="preserve"> =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120BCAD" w14:textId="77777777" w:rsidR="00B76059" w:rsidRPr="00535A78" w:rsidRDefault="00B76059" w:rsidP="00356D40">
            <w:pPr>
              <w:widowControl/>
              <w:tabs>
                <w:tab w:val="left" w:pos="851"/>
                <w:tab w:val="left" w:pos="1134"/>
              </w:tabs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535A7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 xml:space="preserve">К </w:t>
            </w:r>
            <w:proofErr w:type="spellStart"/>
            <w:r w:rsidRPr="00535A7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vertAlign w:val="subscript"/>
                <w:lang w:bidi="ar-SA"/>
              </w:rPr>
              <w:t>ппа</w:t>
            </w:r>
            <w:proofErr w:type="spellEnd"/>
          </w:p>
        </w:tc>
        <w:tc>
          <w:tcPr>
            <w:tcW w:w="1413" w:type="dxa"/>
            <w:vMerge w:val="restart"/>
            <w:vAlign w:val="center"/>
            <w:hideMark/>
          </w:tcPr>
          <w:p w14:paraId="6FF3196E" w14:textId="77777777" w:rsidR="00B76059" w:rsidRPr="00535A78" w:rsidRDefault="00B76059" w:rsidP="00356D40">
            <w:pPr>
              <w:widowControl/>
              <w:tabs>
                <w:tab w:val="left" w:pos="851"/>
                <w:tab w:val="left" w:pos="1134"/>
              </w:tabs>
              <w:jc w:val="both"/>
              <w:rPr>
                <w:rFonts w:ascii="Times New Roman" w:eastAsia="Calibri" w:hAnsi="Times New Roman" w:cs="Times New Roman"/>
                <w:i/>
                <w:color w:val="auto"/>
                <w:sz w:val="28"/>
                <w:szCs w:val="28"/>
                <w:lang w:bidi="ar-SA"/>
              </w:rPr>
            </w:pPr>
            <w:r w:rsidRPr="00535A78">
              <w:rPr>
                <w:rFonts w:ascii="Times New Roman" w:eastAsia="Calibri" w:hAnsi="Times New Roman" w:cs="Times New Roman"/>
                <w:i/>
                <w:color w:val="auto"/>
                <w:sz w:val="28"/>
                <w:szCs w:val="28"/>
                <w:lang w:bidi="ar-SA"/>
              </w:rPr>
              <w:t>, где</w:t>
            </w:r>
          </w:p>
        </w:tc>
      </w:tr>
      <w:tr w:rsidR="00B76059" w:rsidRPr="00535A78" w14:paraId="541E0F2E" w14:textId="77777777" w:rsidTr="00085127">
        <w:tc>
          <w:tcPr>
            <w:tcW w:w="0" w:type="auto"/>
            <w:vMerge/>
            <w:vAlign w:val="center"/>
            <w:hideMark/>
          </w:tcPr>
          <w:p w14:paraId="58432F82" w14:textId="77777777" w:rsidR="00B76059" w:rsidRPr="00535A78" w:rsidRDefault="00B76059" w:rsidP="00535A78">
            <w:pPr>
              <w:widowControl/>
              <w:tabs>
                <w:tab w:val="left" w:pos="851"/>
                <w:tab w:val="left" w:pos="1134"/>
              </w:tabs>
              <w:ind w:firstLine="709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482746E" w14:textId="77777777" w:rsidR="00B76059" w:rsidRPr="00535A78" w:rsidRDefault="00B76059" w:rsidP="00356D40">
            <w:pPr>
              <w:widowControl/>
              <w:tabs>
                <w:tab w:val="left" w:pos="851"/>
                <w:tab w:val="left" w:pos="1134"/>
              </w:tabs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535A7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 xml:space="preserve">К </w:t>
            </w:r>
            <w:r w:rsidRPr="00535A7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vertAlign w:val="subscript"/>
                <w:lang w:bidi="ar-SA"/>
              </w:rPr>
              <w:t>оп</w:t>
            </w:r>
          </w:p>
        </w:tc>
        <w:tc>
          <w:tcPr>
            <w:tcW w:w="0" w:type="auto"/>
            <w:vMerge/>
            <w:vAlign w:val="center"/>
            <w:hideMark/>
          </w:tcPr>
          <w:p w14:paraId="3BB97082" w14:textId="77777777" w:rsidR="00B76059" w:rsidRPr="00535A78" w:rsidRDefault="00B76059" w:rsidP="00535A78">
            <w:pPr>
              <w:widowControl/>
              <w:tabs>
                <w:tab w:val="left" w:pos="851"/>
                <w:tab w:val="left" w:pos="1134"/>
              </w:tabs>
              <w:ind w:firstLine="709"/>
              <w:rPr>
                <w:rFonts w:ascii="Times New Roman" w:eastAsia="Calibri" w:hAnsi="Times New Roman" w:cs="Times New Roman"/>
                <w:i/>
                <w:color w:val="auto"/>
                <w:sz w:val="28"/>
                <w:szCs w:val="28"/>
                <w:lang w:bidi="ar-SA"/>
              </w:rPr>
            </w:pPr>
          </w:p>
        </w:tc>
      </w:tr>
    </w:tbl>
    <w:p w14:paraId="20393D64" w14:textId="77777777" w:rsidR="00A77AEA" w:rsidRPr="00356D40" w:rsidRDefault="00A77AEA" w:rsidP="00535A78">
      <w:pPr>
        <w:pStyle w:val="20"/>
        <w:shd w:val="clear" w:color="auto" w:fill="auto"/>
        <w:tabs>
          <w:tab w:val="left" w:pos="851"/>
          <w:tab w:val="left" w:pos="1134"/>
        </w:tabs>
        <w:spacing w:before="0" w:line="240" w:lineRule="auto"/>
        <w:ind w:firstLine="709"/>
        <w:jc w:val="center"/>
        <w:rPr>
          <w:sz w:val="12"/>
          <w:szCs w:val="28"/>
        </w:rPr>
      </w:pPr>
    </w:p>
    <w:p w14:paraId="4EF4EB76" w14:textId="77777777" w:rsidR="002E167C" w:rsidRPr="00535A78" w:rsidRDefault="00F66B25" w:rsidP="00535A78">
      <w:pPr>
        <w:pStyle w:val="20"/>
        <w:shd w:val="clear" w:color="auto" w:fill="auto"/>
        <w:tabs>
          <w:tab w:val="left" w:pos="851"/>
          <w:tab w:val="left" w:pos="1134"/>
        </w:tabs>
        <w:spacing w:before="0" w:line="240" w:lineRule="auto"/>
        <w:ind w:firstLine="709"/>
        <w:rPr>
          <w:sz w:val="28"/>
          <w:szCs w:val="28"/>
        </w:rPr>
      </w:pPr>
      <w:proofErr w:type="spellStart"/>
      <w:r w:rsidRPr="00535A78">
        <w:rPr>
          <w:sz w:val="28"/>
          <w:szCs w:val="28"/>
        </w:rPr>
        <w:t>Д</w:t>
      </w:r>
      <w:r w:rsidR="00B93109" w:rsidRPr="00535A78">
        <w:rPr>
          <w:rStyle w:val="295pt"/>
          <w:sz w:val="28"/>
          <w:szCs w:val="28"/>
          <w:vertAlign w:val="subscript"/>
        </w:rPr>
        <w:t>ппа</w:t>
      </w:r>
      <w:proofErr w:type="spellEnd"/>
      <w:r w:rsidR="00A77AEA" w:rsidRPr="00535A78">
        <w:rPr>
          <w:rStyle w:val="295pt"/>
          <w:sz w:val="28"/>
          <w:szCs w:val="28"/>
        </w:rPr>
        <w:t xml:space="preserve"> </w:t>
      </w:r>
      <w:r w:rsidRPr="00535A78">
        <w:rPr>
          <w:sz w:val="28"/>
          <w:szCs w:val="28"/>
        </w:rPr>
        <w:t xml:space="preserve">- доля проектов правовых актов </w:t>
      </w:r>
      <w:r w:rsidR="00B93109" w:rsidRPr="00535A78">
        <w:rPr>
          <w:sz w:val="28"/>
          <w:szCs w:val="28"/>
        </w:rPr>
        <w:t>управы</w:t>
      </w:r>
      <w:r w:rsidRPr="00535A78">
        <w:rPr>
          <w:sz w:val="28"/>
          <w:szCs w:val="28"/>
        </w:rPr>
        <w:t>, в которых выявлены риски нарушения антимонопольного закон</w:t>
      </w:r>
      <w:r w:rsidR="00B93109" w:rsidRPr="00535A78">
        <w:rPr>
          <w:sz w:val="28"/>
          <w:szCs w:val="28"/>
        </w:rPr>
        <w:t>одател</w:t>
      </w:r>
      <w:r w:rsidRPr="00535A78">
        <w:rPr>
          <w:sz w:val="28"/>
          <w:szCs w:val="28"/>
        </w:rPr>
        <w:t>ьства;</w:t>
      </w:r>
    </w:p>
    <w:p w14:paraId="24F9E84F" w14:textId="01847B66" w:rsidR="002E167C" w:rsidRPr="00535A78" w:rsidRDefault="00B93109" w:rsidP="00535A78">
      <w:pPr>
        <w:pStyle w:val="20"/>
        <w:shd w:val="clear" w:color="auto" w:fill="auto"/>
        <w:tabs>
          <w:tab w:val="left" w:pos="851"/>
          <w:tab w:val="left" w:pos="1134"/>
        </w:tabs>
        <w:spacing w:before="0" w:line="240" w:lineRule="auto"/>
        <w:ind w:firstLine="709"/>
        <w:rPr>
          <w:sz w:val="28"/>
          <w:szCs w:val="28"/>
        </w:rPr>
      </w:pPr>
      <w:proofErr w:type="spellStart"/>
      <w:r w:rsidRPr="00535A78">
        <w:rPr>
          <w:sz w:val="28"/>
          <w:szCs w:val="28"/>
        </w:rPr>
        <w:t>К</w:t>
      </w:r>
      <w:r w:rsidRPr="00535A78">
        <w:rPr>
          <w:sz w:val="28"/>
          <w:szCs w:val="28"/>
          <w:vertAlign w:val="subscript"/>
        </w:rPr>
        <w:t>ппа</w:t>
      </w:r>
      <w:proofErr w:type="spellEnd"/>
      <w:r w:rsidR="00F66B25" w:rsidRPr="00535A78">
        <w:rPr>
          <w:sz w:val="28"/>
          <w:szCs w:val="28"/>
        </w:rPr>
        <w:t xml:space="preserve">- количество проектов правовых актов </w:t>
      </w:r>
      <w:r w:rsidRPr="00535A78">
        <w:rPr>
          <w:sz w:val="28"/>
          <w:szCs w:val="28"/>
        </w:rPr>
        <w:t>управы</w:t>
      </w:r>
      <w:r w:rsidR="00F66B25" w:rsidRPr="00535A78">
        <w:rPr>
          <w:sz w:val="28"/>
          <w:szCs w:val="28"/>
        </w:rPr>
        <w:t xml:space="preserve">, в которых </w:t>
      </w:r>
      <w:r w:rsidR="0085419E">
        <w:rPr>
          <w:sz w:val="28"/>
          <w:szCs w:val="28"/>
        </w:rPr>
        <w:t>управой</w:t>
      </w:r>
      <w:r w:rsidR="00F66B25" w:rsidRPr="00535A78">
        <w:rPr>
          <w:sz w:val="28"/>
          <w:szCs w:val="28"/>
        </w:rPr>
        <w:t xml:space="preserve"> выявлены риски нарушения антимонопольного законодательства (в отчетном периоде);</w:t>
      </w:r>
    </w:p>
    <w:p w14:paraId="2251DB65" w14:textId="77777777" w:rsidR="002E167C" w:rsidRPr="00535A78" w:rsidRDefault="00F66B25" w:rsidP="00535A78">
      <w:pPr>
        <w:pStyle w:val="20"/>
        <w:shd w:val="clear" w:color="auto" w:fill="auto"/>
        <w:tabs>
          <w:tab w:val="left" w:pos="851"/>
          <w:tab w:val="left" w:pos="1134"/>
        </w:tabs>
        <w:spacing w:before="0" w:line="240" w:lineRule="auto"/>
        <w:ind w:firstLine="709"/>
        <w:rPr>
          <w:sz w:val="28"/>
          <w:szCs w:val="28"/>
        </w:rPr>
      </w:pPr>
      <w:r w:rsidRPr="00535A78">
        <w:rPr>
          <w:sz w:val="28"/>
          <w:szCs w:val="28"/>
        </w:rPr>
        <w:t>К</w:t>
      </w:r>
      <w:r w:rsidR="00B93109" w:rsidRPr="00535A78">
        <w:rPr>
          <w:sz w:val="28"/>
          <w:szCs w:val="28"/>
          <w:vertAlign w:val="subscript"/>
        </w:rPr>
        <w:t>оп</w:t>
      </w:r>
      <w:r w:rsidRPr="00535A78">
        <w:rPr>
          <w:sz w:val="28"/>
          <w:szCs w:val="28"/>
        </w:rPr>
        <w:t xml:space="preserve"> - количество правовых актов </w:t>
      </w:r>
      <w:r w:rsidR="00B93109" w:rsidRPr="00535A78">
        <w:rPr>
          <w:sz w:val="28"/>
          <w:szCs w:val="28"/>
        </w:rPr>
        <w:t>управы</w:t>
      </w:r>
      <w:r w:rsidRPr="00535A78">
        <w:rPr>
          <w:sz w:val="28"/>
          <w:szCs w:val="28"/>
        </w:rPr>
        <w:t>, в которых антимонопольным органом выявлены нарушения антимонопольного законодательства (в отчетном периоде).</w:t>
      </w:r>
    </w:p>
    <w:p w14:paraId="395A6A1D" w14:textId="77777777" w:rsidR="002E167C" w:rsidRPr="00535A78" w:rsidRDefault="005B064D" w:rsidP="00535A78">
      <w:pPr>
        <w:pStyle w:val="20"/>
        <w:numPr>
          <w:ilvl w:val="1"/>
          <w:numId w:val="8"/>
        </w:numPr>
        <w:shd w:val="clear" w:color="auto" w:fill="auto"/>
        <w:tabs>
          <w:tab w:val="left" w:pos="851"/>
          <w:tab w:val="left" w:pos="1134"/>
          <w:tab w:val="center" w:pos="1510"/>
          <w:tab w:val="center" w:pos="2208"/>
          <w:tab w:val="left" w:pos="2967"/>
          <w:tab w:val="center" w:pos="6093"/>
          <w:tab w:val="left" w:pos="6929"/>
        </w:tabs>
        <w:spacing w:before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66B25" w:rsidRPr="00535A78">
        <w:rPr>
          <w:sz w:val="28"/>
          <w:szCs w:val="28"/>
        </w:rPr>
        <w:t xml:space="preserve">Доля правовых актов </w:t>
      </w:r>
      <w:r w:rsidR="00B93109" w:rsidRPr="00535A78">
        <w:rPr>
          <w:sz w:val="28"/>
          <w:szCs w:val="28"/>
        </w:rPr>
        <w:t>управ</w:t>
      </w:r>
      <w:r w:rsidR="0085419E">
        <w:rPr>
          <w:sz w:val="28"/>
          <w:szCs w:val="28"/>
        </w:rPr>
        <w:t>ы</w:t>
      </w:r>
      <w:r w:rsidR="00F66B25" w:rsidRPr="00535A78">
        <w:rPr>
          <w:sz w:val="28"/>
          <w:szCs w:val="28"/>
        </w:rPr>
        <w:t>,</w:t>
      </w:r>
      <w:r w:rsidR="00F66B25" w:rsidRPr="00535A78">
        <w:rPr>
          <w:sz w:val="28"/>
          <w:szCs w:val="28"/>
        </w:rPr>
        <w:tab/>
      </w:r>
      <w:r w:rsidR="00B93109" w:rsidRPr="00535A78">
        <w:rPr>
          <w:sz w:val="28"/>
          <w:szCs w:val="28"/>
        </w:rPr>
        <w:t xml:space="preserve"> </w:t>
      </w:r>
      <w:r w:rsidR="00F66B25" w:rsidRPr="00535A78">
        <w:rPr>
          <w:sz w:val="28"/>
          <w:szCs w:val="28"/>
        </w:rPr>
        <w:t>в</w:t>
      </w:r>
      <w:r w:rsidR="00B93109" w:rsidRPr="00535A78">
        <w:rPr>
          <w:sz w:val="28"/>
          <w:szCs w:val="28"/>
        </w:rPr>
        <w:t xml:space="preserve"> </w:t>
      </w:r>
      <w:r w:rsidR="00F66B25" w:rsidRPr="00535A78">
        <w:rPr>
          <w:sz w:val="28"/>
          <w:szCs w:val="28"/>
        </w:rPr>
        <w:t>которых</w:t>
      </w:r>
      <w:r w:rsidR="00B93109" w:rsidRPr="00535A78">
        <w:rPr>
          <w:sz w:val="28"/>
          <w:szCs w:val="28"/>
        </w:rPr>
        <w:t xml:space="preserve"> </w:t>
      </w:r>
      <w:r w:rsidR="00F66B25" w:rsidRPr="00535A78">
        <w:rPr>
          <w:sz w:val="28"/>
          <w:szCs w:val="28"/>
        </w:rPr>
        <w:t>выявлены риски</w:t>
      </w:r>
      <w:r w:rsidR="00B93109" w:rsidRPr="00535A78">
        <w:rPr>
          <w:sz w:val="28"/>
          <w:szCs w:val="28"/>
        </w:rPr>
        <w:t xml:space="preserve"> </w:t>
      </w:r>
      <w:r w:rsidR="00F66B25" w:rsidRPr="00535A78">
        <w:rPr>
          <w:sz w:val="28"/>
          <w:szCs w:val="28"/>
        </w:rPr>
        <w:t>нарушения</w:t>
      </w:r>
      <w:r w:rsidR="00B93109" w:rsidRPr="00535A78">
        <w:rPr>
          <w:sz w:val="28"/>
          <w:szCs w:val="28"/>
        </w:rPr>
        <w:t xml:space="preserve"> </w:t>
      </w:r>
      <w:r w:rsidR="00F66B25" w:rsidRPr="00535A78">
        <w:rPr>
          <w:sz w:val="28"/>
          <w:szCs w:val="28"/>
        </w:rPr>
        <w:t>антимонопольного</w:t>
      </w:r>
      <w:r w:rsidR="00B93109" w:rsidRPr="00535A78">
        <w:rPr>
          <w:sz w:val="28"/>
          <w:szCs w:val="28"/>
        </w:rPr>
        <w:t xml:space="preserve"> </w:t>
      </w:r>
      <w:r w:rsidR="00F66B25" w:rsidRPr="00535A78">
        <w:rPr>
          <w:sz w:val="28"/>
          <w:szCs w:val="28"/>
        </w:rPr>
        <w:t>законодательства, рассчитывается по формуле:</w:t>
      </w:r>
    </w:p>
    <w:p w14:paraId="5CA5ABC2" w14:textId="77777777" w:rsidR="00B76059" w:rsidRPr="00535A78" w:rsidRDefault="00B76059" w:rsidP="00535A78">
      <w:pPr>
        <w:pStyle w:val="80"/>
        <w:shd w:val="clear" w:color="auto" w:fill="auto"/>
        <w:tabs>
          <w:tab w:val="left" w:pos="851"/>
          <w:tab w:val="left" w:pos="1134"/>
          <w:tab w:val="left" w:pos="3024"/>
        </w:tabs>
        <w:spacing w:line="240" w:lineRule="auto"/>
        <w:ind w:firstLine="709"/>
        <w:jc w:val="center"/>
        <w:rPr>
          <w:rStyle w:val="813pt"/>
          <w:sz w:val="28"/>
          <w:szCs w:val="28"/>
        </w:rPr>
      </w:pPr>
    </w:p>
    <w:tbl>
      <w:tblPr>
        <w:tblW w:w="0" w:type="auto"/>
        <w:tblInd w:w="704" w:type="dxa"/>
        <w:tblLook w:val="04A0" w:firstRow="1" w:lastRow="0" w:firstColumn="1" w:lastColumn="0" w:noHBand="0" w:noVBand="1"/>
      </w:tblPr>
      <w:tblGrid>
        <w:gridCol w:w="1276"/>
        <w:gridCol w:w="1139"/>
        <w:gridCol w:w="1413"/>
      </w:tblGrid>
      <w:tr w:rsidR="00B76059" w:rsidRPr="00535A78" w14:paraId="30EE71A4" w14:textId="77777777" w:rsidTr="00085127">
        <w:tc>
          <w:tcPr>
            <w:tcW w:w="1276" w:type="dxa"/>
            <w:vMerge w:val="restart"/>
            <w:vAlign w:val="center"/>
            <w:hideMark/>
          </w:tcPr>
          <w:p w14:paraId="5ABB076B" w14:textId="77777777" w:rsidR="00B76059" w:rsidRPr="00535A78" w:rsidRDefault="00B76059" w:rsidP="00356D40">
            <w:pPr>
              <w:widowControl/>
              <w:tabs>
                <w:tab w:val="left" w:pos="851"/>
                <w:tab w:val="left" w:pos="1134"/>
              </w:tabs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  <w:proofErr w:type="spellStart"/>
            <w:r w:rsidRPr="00535A7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535A78">
              <w:rPr>
                <w:rStyle w:val="295pt"/>
                <w:rFonts w:eastAsia="Arial Unicode MS"/>
                <w:sz w:val="28"/>
                <w:szCs w:val="28"/>
                <w:vertAlign w:val="subscript"/>
              </w:rPr>
              <w:t>п</w:t>
            </w:r>
            <w:r w:rsidR="00356D40">
              <w:rPr>
                <w:rStyle w:val="295pt"/>
                <w:rFonts w:eastAsia="Arial Unicode MS"/>
                <w:sz w:val="28"/>
                <w:szCs w:val="28"/>
                <w:vertAlign w:val="subscript"/>
              </w:rPr>
              <w:t>а</w:t>
            </w:r>
            <w:proofErr w:type="spellEnd"/>
            <w:r w:rsidRPr="00535A7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 xml:space="preserve"> </w:t>
            </w:r>
            <w:r w:rsidR="00356D40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 xml:space="preserve">    </w:t>
            </w:r>
            <w:r w:rsidRPr="00535A7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>=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4187AD2" w14:textId="77777777" w:rsidR="00B76059" w:rsidRPr="00535A78" w:rsidRDefault="00B76059" w:rsidP="00356D40">
            <w:pPr>
              <w:widowControl/>
              <w:tabs>
                <w:tab w:val="left" w:pos="851"/>
                <w:tab w:val="left" w:pos="1134"/>
              </w:tabs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535A7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 xml:space="preserve">К </w:t>
            </w:r>
            <w:r w:rsidRPr="00535A7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vertAlign w:val="subscript"/>
                <w:lang w:bidi="ar-SA"/>
              </w:rPr>
              <w:t>па</w:t>
            </w:r>
          </w:p>
        </w:tc>
        <w:tc>
          <w:tcPr>
            <w:tcW w:w="1413" w:type="dxa"/>
            <w:vMerge w:val="restart"/>
            <w:vAlign w:val="center"/>
            <w:hideMark/>
          </w:tcPr>
          <w:p w14:paraId="4A2CBA28" w14:textId="77777777" w:rsidR="00B76059" w:rsidRPr="00535A78" w:rsidRDefault="00B76059" w:rsidP="00356D40">
            <w:pPr>
              <w:widowControl/>
              <w:tabs>
                <w:tab w:val="left" w:pos="851"/>
                <w:tab w:val="left" w:pos="1134"/>
              </w:tabs>
              <w:jc w:val="both"/>
              <w:rPr>
                <w:rFonts w:ascii="Times New Roman" w:eastAsia="Calibri" w:hAnsi="Times New Roman" w:cs="Times New Roman"/>
                <w:i/>
                <w:color w:val="auto"/>
                <w:sz w:val="28"/>
                <w:szCs w:val="28"/>
                <w:lang w:bidi="ar-SA"/>
              </w:rPr>
            </w:pPr>
            <w:r w:rsidRPr="00535A78">
              <w:rPr>
                <w:rFonts w:ascii="Times New Roman" w:eastAsia="Calibri" w:hAnsi="Times New Roman" w:cs="Times New Roman"/>
                <w:i/>
                <w:color w:val="auto"/>
                <w:sz w:val="28"/>
                <w:szCs w:val="28"/>
                <w:lang w:bidi="ar-SA"/>
              </w:rPr>
              <w:t>, где</w:t>
            </w:r>
          </w:p>
        </w:tc>
      </w:tr>
      <w:tr w:rsidR="00B76059" w:rsidRPr="00535A78" w14:paraId="6616FA0C" w14:textId="77777777" w:rsidTr="00085127">
        <w:tc>
          <w:tcPr>
            <w:tcW w:w="0" w:type="auto"/>
            <w:vMerge/>
            <w:vAlign w:val="center"/>
            <w:hideMark/>
          </w:tcPr>
          <w:p w14:paraId="468A63A4" w14:textId="77777777" w:rsidR="00B76059" w:rsidRPr="00535A78" w:rsidRDefault="00B76059" w:rsidP="00535A78">
            <w:pPr>
              <w:widowControl/>
              <w:tabs>
                <w:tab w:val="left" w:pos="851"/>
                <w:tab w:val="left" w:pos="1134"/>
              </w:tabs>
              <w:ind w:firstLine="709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61D53DC" w14:textId="77777777" w:rsidR="00B76059" w:rsidRPr="00535A78" w:rsidRDefault="00B76059" w:rsidP="00356D40">
            <w:pPr>
              <w:widowControl/>
              <w:tabs>
                <w:tab w:val="left" w:pos="851"/>
                <w:tab w:val="left" w:pos="1134"/>
              </w:tabs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535A7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 xml:space="preserve">К </w:t>
            </w:r>
            <w:r w:rsidRPr="00535A7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vertAlign w:val="subscript"/>
                <w:lang w:bidi="ar-SA"/>
              </w:rPr>
              <w:t>оп</w:t>
            </w:r>
          </w:p>
        </w:tc>
        <w:tc>
          <w:tcPr>
            <w:tcW w:w="0" w:type="auto"/>
            <w:vMerge/>
            <w:vAlign w:val="center"/>
            <w:hideMark/>
          </w:tcPr>
          <w:p w14:paraId="6E26EB1F" w14:textId="77777777" w:rsidR="00B76059" w:rsidRPr="00535A78" w:rsidRDefault="00B76059" w:rsidP="00535A78">
            <w:pPr>
              <w:widowControl/>
              <w:tabs>
                <w:tab w:val="left" w:pos="851"/>
                <w:tab w:val="left" w:pos="1134"/>
              </w:tabs>
              <w:ind w:firstLine="709"/>
              <w:rPr>
                <w:rFonts w:ascii="Times New Roman" w:eastAsia="Calibri" w:hAnsi="Times New Roman" w:cs="Times New Roman"/>
                <w:i/>
                <w:color w:val="auto"/>
                <w:sz w:val="28"/>
                <w:szCs w:val="28"/>
                <w:lang w:bidi="ar-SA"/>
              </w:rPr>
            </w:pPr>
          </w:p>
        </w:tc>
      </w:tr>
    </w:tbl>
    <w:p w14:paraId="1A838CE2" w14:textId="77777777" w:rsidR="00B93109" w:rsidRPr="00535A78" w:rsidRDefault="00B93109" w:rsidP="00535A78">
      <w:pPr>
        <w:pStyle w:val="80"/>
        <w:shd w:val="clear" w:color="auto" w:fill="auto"/>
        <w:tabs>
          <w:tab w:val="left" w:pos="851"/>
          <w:tab w:val="left" w:pos="1134"/>
          <w:tab w:val="left" w:pos="3024"/>
        </w:tabs>
        <w:spacing w:line="240" w:lineRule="auto"/>
        <w:ind w:firstLine="709"/>
        <w:jc w:val="center"/>
        <w:rPr>
          <w:rStyle w:val="813pt"/>
          <w:sz w:val="28"/>
          <w:szCs w:val="28"/>
        </w:rPr>
      </w:pPr>
    </w:p>
    <w:p w14:paraId="43C06A81" w14:textId="77777777" w:rsidR="002E167C" w:rsidRPr="00535A78" w:rsidRDefault="00F66B25" w:rsidP="00535A78">
      <w:pPr>
        <w:pStyle w:val="20"/>
        <w:shd w:val="clear" w:color="auto" w:fill="auto"/>
        <w:tabs>
          <w:tab w:val="left" w:pos="851"/>
          <w:tab w:val="left" w:pos="1134"/>
        </w:tabs>
        <w:spacing w:before="0" w:line="240" w:lineRule="auto"/>
        <w:ind w:firstLine="709"/>
        <w:rPr>
          <w:sz w:val="28"/>
          <w:szCs w:val="28"/>
        </w:rPr>
      </w:pPr>
      <w:proofErr w:type="spellStart"/>
      <w:r w:rsidRPr="00535A78">
        <w:rPr>
          <w:sz w:val="28"/>
          <w:szCs w:val="28"/>
        </w:rPr>
        <w:t>Д</w:t>
      </w:r>
      <w:r w:rsidRPr="00535A78">
        <w:rPr>
          <w:sz w:val="28"/>
          <w:szCs w:val="28"/>
          <w:vertAlign w:val="subscript"/>
        </w:rPr>
        <w:t>па</w:t>
      </w:r>
      <w:proofErr w:type="spellEnd"/>
      <w:r w:rsidRPr="00535A78">
        <w:rPr>
          <w:sz w:val="28"/>
          <w:szCs w:val="28"/>
        </w:rPr>
        <w:t xml:space="preserve"> - доля правовых актов </w:t>
      </w:r>
      <w:r w:rsidR="002B3DF9" w:rsidRPr="00535A78">
        <w:rPr>
          <w:sz w:val="28"/>
          <w:szCs w:val="28"/>
        </w:rPr>
        <w:t>управы</w:t>
      </w:r>
      <w:r w:rsidRPr="00535A78">
        <w:rPr>
          <w:sz w:val="28"/>
          <w:szCs w:val="28"/>
        </w:rPr>
        <w:t>,</w:t>
      </w:r>
      <w:r w:rsidR="002B3DF9" w:rsidRPr="00535A78">
        <w:rPr>
          <w:sz w:val="28"/>
          <w:szCs w:val="28"/>
        </w:rPr>
        <w:t xml:space="preserve"> </w:t>
      </w:r>
      <w:r w:rsidRPr="00535A78">
        <w:rPr>
          <w:sz w:val="28"/>
          <w:szCs w:val="28"/>
        </w:rPr>
        <w:t>в</w:t>
      </w:r>
      <w:r w:rsidR="002B3DF9" w:rsidRPr="00535A78">
        <w:rPr>
          <w:sz w:val="28"/>
          <w:szCs w:val="28"/>
        </w:rPr>
        <w:t xml:space="preserve"> </w:t>
      </w:r>
      <w:r w:rsidRPr="00535A78">
        <w:rPr>
          <w:sz w:val="28"/>
          <w:szCs w:val="28"/>
        </w:rPr>
        <w:t>которых</w:t>
      </w:r>
      <w:r w:rsidR="002B3DF9" w:rsidRPr="00535A78">
        <w:rPr>
          <w:sz w:val="28"/>
          <w:szCs w:val="28"/>
        </w:rPr>
        <w:t xml:space="preserve"> </w:t>
      </w:r>
      <w:r w:rsidRPr="00535A78">
        <w:rPr>
          <w:sz w:val="28"/>
          <w:szCs w:val="28"/>
        </w:rPr>
        <w:t>выявлены риски</w:t>
      </w:r>
      <w:r w:rsidR="002B3DF9" w:rsidRPr="00535A78">
        <w:rPr>
          <w:sz w:val="28"/>
          <w:szCs w:val="28"/>
        </w:rPr>
        <w:t xml:space="preserve"> </w:t>
      </w:r>
      <w:r w:rsidRPr="00535A78">
        <w:rPr>
          <w:sz w:val="28"/>
          <w:szCs w:val="28"/>
        </w:rPr>
        <w:t>нарушения</w:t>
      </w:r>
      <w:r w:rsidR="002B3DF9" w:rsidRPr="00535A78">
        <w:rPr>
          <w:sz w:val="28"/>
          <w:szCs w:val="28"/>
        </w:rPr>
        <w:t xml:space="preserve"> </w:t>
      </w:r>
      <w:r w:rsidRPr="00535A78">
        <w:rPr>
          <w:sz w:val="28"/>
          <w:szCs w:val="28"/>
        </w:rPr>
        <w:t>антимонопольного</w:t>
      </w:r>
      <w:r w:rsidR="002B3DF9" w:rsidRPr="00535A78">
        <w:rPr>
          <w:sz w:val="28"/>
          <w:szCs w:val="28"/>
        </w:rPr>
        <w:t xml:space="preserve"> </w:t>
      </w:r>
      <w:r w:rsidRPr="00535A78">
        <w:rPr>
          <w:sz w:val="28"/>
          <w:szCs w:val="28"/>
        </w:rPr>
        <w:t>законодательства;</w:t>
      </w:r>
    </w:p>
    <w:p w14:paraId="47C2BDBD" w14:textId="77777777" w:rsidR="002E167C" w:rsidRPr="00535A78" w:rsidRDefault="002B3DF9" w:rsidP="00535A78">
      <w:pPr>
        <w:pStyle w:val="20"/>
        <w:shd w:val="clear" w:color="auto" w:fill="auto"/>
        <w:tabs>
          <w:tab w:val="left" w:pos="851"/>
          <w:tab w:val="left" w:pos="1134"/>
        </w:tabs>
        <w:spacing w:before="0" w:line="240" w:lineRule="auto"/>
        <w:ind w:firstLine="709"/>
        <w:rPr>
          <w:sz w:val="28"/>
          <w:szCs w:val="28"/>
        </w:rPr>
      </w:pPr>
      <w:r w:rsidRPr="00535A78">
        <w:rPr>
          <w:sz w:val="28"/>
          <w:szCs w:val="28"/>
        </w:rPr>
        <w:t>К</w:t>
      </w:r>
      <w:r w:rsidRPr="00535A78">
        <w:rPr>
          <w:sz w:val="28"/>
          <w:szCs w:val="28"/>
          <w:vertAlign w:val="subscript"/>
        </w:rPr>
        <w:t>па</w:t>
      </w:r>
      <w:r w:rsidR="00F66B25" w:rsidRPr="00535A78">
        <w:rPr>
          <w:sz w:val="28"/>
          <w:szCs w:val="28"/>
        </w:rPr>
        <w:t xml:space="preserve"> - количество правовых актов </w:t>
      </w:r>
      <w:r w:rsidRPr="00535A78">
        <w:rPr>
          <w:sz w:val="28"/>
          <w:szCs w:val="28"/>
        </w:rPr>
        <w:t>управы</w:t>
      </w:r>
      <w:r w:rsidR="00F66B25" w:rsidRPr="00535A78">
        <w:rPr>
          <w:sz w:val="28"/>
          <w:szCs w:val="28"/>
        </w:rPr>
        <w:t>,</w:t>
      </w:r>
      <w:r w:rsidRPr="00535A78">
        <w:rPr>
          <w:sz w:val="28"/>
          <w:szCs w:val="28"/>
        </w:rPr>
        <w:t xml:space="preserve"> </w:t>
      </w:r>
      <w:r w:rsidR="00F66B25" w:rsidRPr="00535A78">
        <w:rPr>
          <w:sz w:val="28"/>
          <w:szCs w:val="28"/>
        </w:rPr>
        <w:t>в</w:t>
      </w:r>
      <w:r w:rsidRPr="00535A78">
        <w:rPr>
          <w:sz w:val="28"/>
          <w:szCs w:val="28"/>
        </w:rPr>
        <w:t xml:space="preserve"> </w:t>
      </w:r>
      <w:r w:rsidR="00F66B25" w:rsidRPr="00535A78">
        <w:rPr>
          <w:sz w:val="28"/>
          <w:szCs w:val="28"/>
        </w:rPr>
        <w:t>которых</w:t>
      </w:r>
      <w:r w:rsidRPr="00535A78">
        <w:rPr>
          <w:sz w:val="28"/>
          <w:szCs w:val="28"/>
        </w:rPr>
        <w:t xml:space="preserve"> управой </w:t>
      </w:r>
      <w:r w:rsidR="00F66B25" w:rsidRPr="00535A78">
        <w:rPr>
          <w:sz w:val="28"/>
          <w:szCs w:val="28"/>
        </w:rPr>
        <w:t>выявлены</w:t>
      </w:r>
      <w:r w:rsidRPr="00535A78">
        <w:rPr>
          <w:sz w:val="28"/>
          <w:szCs w:val="28"/>
        </w:rPr>
        <w:t xml:space="preserve"> </w:t>
      </w:r>
      <w:r w:rsidR="00F66B25" w:rsidRPr="00535A78">
        <w:rPr>
          <w:sz w:val="28"/>
          <w:szCs w:val="28"/>
        </w:rPr>
        <w:t>риски нарушения</w:t>
      </w:r>
      <w:r w:rsidRPr="00535A78">
        <w:rPr>
          <w:sz w:val="28"/>
          <w:szCs w:val="28"/>
        </w:rPr>
        <w:t xml:space="preserve"> </w:t>
      </w:r>
      <w:r w:rsidR="00F66B25" w:rsidRPr="00535A78">
        <w:rPr>
          <w:sz w:val="28"/>
          <w:szCs w:val="28"/>
        </w:rPr>
        <w:t>антимонопольного законодательства (в отчетном периоде);</w:t>
      </w:r>
    </w:p>
    <w:p w14:paraId="14F5E490" w14:textId="77777777" w:rsidR="002E167C" w:rsidRPr="00535A78" w:rsidRDefault="00F66B25" w:rsidP="00535A78">
      <w:pPr>
        <w:pStyle w:val="20"/>
        <w:shd w:val="clear" w:color="auto" w:fill="auto"/>
        <w:tabs>
          <w:tab w:val="left" w:pos="851"/>
          <w:tab w:val="left" w:pos="1134"/>
        </w:tabs>
        <w:spacing w:before="0" w:line="240" w:lineRule="auto"/>
        <w:ind w:firstLine="709"/>
        <w:rPr>
          <w:sz w:val="28"/>
          <w:szCs w:val="28"/>
        </w:rPr>
      </w:pPr>
      <w:r w:rsidRPr="00535A78">
        <w:rPr>
          <w:sz w:val="28"/>
          <w:szCs w:val="28"/>
        </w:rPr>
        <w:t>К</w:t>
      </w:r>
      <w:r w:rsidR="002B3DF9" w:rsidRPr="00535A78">
        <w:rPr>
          <w:sz w:val="28"/>
          <w:szCs w:val="28"/>
          <w:vertAlign w:val="subscript"/>
        </w:rPr>
        <w:t>оп</w:t>
      </w:r>
      <w:r w:rsidRPr="00535A78">
        <w:rPr>
          <w:sz w:val="28"/>
          <w:szCs w:val="28"/>
          <w:vertAlign w:val="subscript"/>
        </w:rPr>
        <w:t xml:space="preserve"> </w:t>
      </w:r>
      <w:r w:rsidRPr="00535A78">
        <w:rPr>
          <w:sz w:val="28"/>
          <w:szCs w:val="28"/>
        </w:rPr>
        <w:t xml:space="preserve"> - количество правовых актов </w:t>
      </w:r>
      <w:r w:rsidR="002B3DF9" w:rsidRPr="00535A78">
        <w:rPr>
          <w:sz w:val="28"/>
          <w:szCs w:val="28"/>
        </w:rPr>
        <w:t>управы</w:t>
      </w:r>
      <w:r w:rsidRPr="00535A78">
        <w:rPr>
          <w:sz w:val="28"/>
          <w:szCs w:val="28"/>
        </w:rPr>
        <w:t>, в которых антимонопольным органом выявлены нарушения антимонопольного законодательства (в отчетном периоде).</w:t>
      </w:r>
    </w:p>
    <w:p w14:paraId="384E272E" w14:textId="77777777" w:rsidR="00A77AEA" w:rsidRPr="00535A78" w:rsidRDefault="00A77AEA" w:rsidP="00A77AEA">
      <w:pPr>
        <w:pStyle w:val="20"/>
        <w:shd w:val="clear" w:color="auto" w:fill="auto"/>
        <w:spacing w:before="0" w:line="240" w:lineRule="auto"/>
        <w:ind w:firstLine="900"/>
        <w:rPr>
          <w:sz w:val="28"/>
          <w:szCs w:val="28"/>
        </w:rPr>
      </w:pPr>
    </w:p>
    <w:p w14:paraId="2941D266" w14:textId="0AE43C53" w:rsidR="002E167C" w:rsidRDefault="00F66B25" w:rsidP="00535A78">
      <w:pPr>
        <w:pStyle w:val="40"/>
        <w:numPr>
          <w:ilvl w:val="0"/>
          <w:numId w:val="4"/>
        </w:numPr>
        <w:shd w:val="clear" w:color="auto" w:fill="auto"/>
        <w:tabs>
          <w:tab w:val="left" w:pos="426"/>
        </w:tabs>
        <w:spacing w:before="0" w:after="0" w:line="240" w:lineRule="auto"/>
        <w:ind w:firstLine="0"/>
        <w:jc w:val="center"/>
        <w:rPr>
          <w:sz w:val="28"/>
          <w:szCs w:val="28"/>
        </w:rPr>
      </w:pPr>
      <w:r w:rsidRPr="00535A78">
        <w:rPr>
          <w:sz w:val="28"/>
          <w:szCs w:val="28"/>
        </w:rPr>
        <w:t>Для уполномоченного должностного</w:t>
      </w:r>
      <w:r w:rsidR="002B3DF9" w:rsidRPr="00535A78">
        <w:rPr>
          <w:sz w:val="28"/>
          <w:szCs w:val="28"/>
        </w:rPr>
        <w:t xml:space="preserve"> </w:t>
      </w:r>
      <w:r w:rsidRPr="00535A78">
        <w:rPr>
          <w:sz w:val="28"/>
          <w:szCs w:val="28"/>
        </w:rPr>
        <w:t xml:space="preserve">лица </w:t>
      </w:r>
      <w:r w:rsidR="0085419E">
        <w:rPr>
          <w:sz w:val="28"/>
          <w:szCs w:val="28"/>
        </w:rPr>
        <w:t xml:space="preserve">управы района </w:t>
      </w:r>
      <w:r w:rsidR="00154F3F">
        <w:rPr>
          <w:sz w:val="28"/>
          <w:szCs w:val="28"/>
        </w:rPr>
        <w:t>Измайлово</w:t>
      </w:r>
      <w:r w:rsidRPr="00535A78">
        <w:rPr>
          <w:sz w:val="28"/>
          <w:szCs w:val="28"/>
        </w:rPr>
        <w:t xml:space="preserve"> города Москвы</w:t>
      </w:r>
    </w:p>
    <w:p w14:paraId="5D315FDB" w14:textId="77777777" w:rsidR="00535A78" w:rsidRPr="00535A78" w:rsidRDefault="00535A78" w:rsidP="00535A78">
      <w:pPr>
        <w:pStyle w:val="40"/>
        <w:shd w:val="clear" w:color="auto" w:fill="auto"/>
        <w:tabs>
          <w:tab w:val="left" w:pos="426"/>
        </w:tabs>
        <w:spacing w:before="0" w:after="0" w:line="240" w:lineRule="auto"/>
        <w:ind w:firstLine="0"/>
        <w:rPr>
          <w:sz w:val="8"/>
          <w:szCs w:val="28"/>
        </w:rPr>
      </w:pPr>
    </w:p>
    <w:p w14:paraId="4A37355E" w14:textId="77777777" w:rsidR="002E167C" w:rsidRPr="00535A78" w:rsidRDefault="005B064D" w:rsidP="00535A78">
      <w:pPr>
        <w:pStyle w:val="20"/>
        <w:numPr>
          <w:ilvl w:val="0"/>
          <w:numId w:val="5"/>
        </w:numPr>
        <w:shd w:val="clear" w:color="auto" w:fill="auto"/>
        <w:tabs>
          <w:tab w:val="left" w:pos="1134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66B25" w:rsidRPr="00535A78">
        <w:rPr>
          <w:sz w:val="28"/>
          <w:szCs w:val="28"/>
        </w:rPr>
        <w:t xml:space="preserve">Для уполномоченного </w:t>
      </w:r>
      <w:r w:rsidR="0037232C">
        <w:rPr>
          <w:sz w:val="28"/>
          <w:szCs w:val="28"/>
        </w:rPr>
        <w:t>должностного лица</w:t>
      </w:r>
      <w:r w:rsidR="00F66B25" w:rsidRPr="00535A78">
        <w:rPr>
          <w:sz w:val="28"/>
          <w:szCs w:val="28"/>
        </w:rPr>
        <w:t xml:space="preserve"> </w:t>
      </w:r>
      <w:r w:rsidR="002B3DF9" w:rsidRPr="00535A78">
        <w:rPr>
          <w:sz w:val="28"/>
          <w:szCs w:val="28"/>
        </w:rPr>
        <w:t>управы</w:t>
      </w:r>
      <w:r w:rsidR="00F66B25" w:rsidRPr="00535A78">
        <w:rPr>
          <w:sz w:val="28"/>
          <w:szCs w:val="28"/>
        </w:rPr>
        <w:t xml:space="preserve"> рассчитывается </w:t>
      </w:r>
      <w:r w:rsidR="0037232C">
        <w:rPr>
          <w:sz w:val="28"/>
          <w:szCs w:val="28"/>
        </w:rPr>
        <w:t xml:space="preserve">должностного лица </w:t>
      </w:r>
      <w:r w:rsidR="00F66B25" w:rsidRPr="00535A78">
        <w:rPr>
          <w:sz w:val="28"/>
          <w:szCs w:val="28"/>
        </w:rPr>
        <w:t>следующий КПЗ:</w:t>
      </w:r>
    </w:p>
    <w:p w14:paraId="430724B3" w14:textId="77777777" w:rsidR="002E167C" w:rsidRPr="00535A78" w:rsidRDefault="00535A78" w:rsidP="00535A78">
      <w:pPr>
        <w:pStyle w:val="20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66B25" w:rsidRPr="00535A78">
        <w:rPr>
          <w:sz w:val="28"/>
          <w:szCs w:val="28"/>
        </w:rPr>
        <w:t xml:space="preserve">доля сотрудников </w:t>
      </w:r>
      <w:r w:rsidR="002B3DF9" w:rsidRPr="00535A78">
        <w:rPr>
          <w:sz w:val="28"/>
          <w:szCs w:val="28"/>
        </w:rPr>
        <w:t>управы</w:t>
      </w:r>
      <w:r w:rsidR="00F66B25" w:rsidRPr="00535A78">
        <w:rPr>
          <w:sz w:val="28"/>
          <w:szCs w:val="28"/>
        </w:rPr>
        <w:t>, в отношении которых были проведены обучающие мероприятия по антимонопольному законодательству и антимонопольному комплаенсу.</w:t>
      </w:r>
    </w:p>
    <w:p w14:paraId="0417C0CC" w14:textId="77777777" w:rsidR="002E167C" w:rsidRPr="00535A78" w:rsidRDefault="00F66B25" w:rsidP="005B064D">
      <w:pPr>
        <w:pStyle w:val="20"/>
        <w:numPr>
          <w:ilvl w:val="0"/>
          <w:numId w:val="5"/>
        </w:numPr>
        <w:shd w:val="clear" w:color="auto" w:fill="auto"/>
        <w:tabs>
          <w:tab w:val="left" w:pos="1276"/>
        </w:tabs>
        <w:spacing w:before="0" w:line="240" w:lineRule="auto"/>
        <w:ind w:firstLine="709"/>
        <w:rPr>
          <w:sz w:val="28"/>
          <w:szCs w:val="28"/>
        </w:rPr>
      </w:pPr>
      <w:r w:rsidRPr="00535A78">
        <w:rPr>
          <w:sz w:val="28"/>
          <w:szCs w:val="28"/>
        </w:rPr>
        <w:t xml:space="preserve">Доля сотрудников </w:t>
      </w:r>
      <w:r w:rsidR="002B3DF9" w:rsidRPr="00535A78">
        <w:rPr>
          <w:sz w:val="28"/>
          <w:szCs w:val="28"/>
        </w:rPr>
        <w:t>управы</w:t>
      </w:r>
      <w:r w:rsidRPr="00535A78">
        <w:rPr>
          <w:sz w:val="28"/>
          <w:szCs w:val="28"/>
        </w:rPr>
        <w:t>, в отношении которых были проведены обучающие мероприятия по антимонопольному законодательству и антимонопольному комплаенсу, рассчитывается по формуле:</w:t>
      </w:r>
    </w:p>
    <w:tbl>
      <w:tblPr>
        <w:tblW w:w="0" w:type="auto"/>
        <w:tblInd w:w="704" w:type="dxa"/>
        <w:tblLook w:val="04A0" w:firstRow="1" w:lastRow="0" w:firstColumn="1" w:lastColumn="0" w:noHBand="0" w:noVBand="1"/>
      </w:tblPr>
      <w:tblGrid>
        <w:gridCol w:w="1276"/>
        <w:gridCol w:w="1139"/>
        <w:gridCol w:w="1413"/>
      </w:tblGrid>
      <w:tr w:rsidR="00B8162D" w:rsidRPr="00535A78" w14:paraId="4B900761" w14:textId="77777777" w:rsidTr="00585B0A">
        <w:tc>
          <w:tcPr>
            <w:tcW w:w="1276" w:type="dxa"/>
            <w:vMerge w:val="restart"/>
            <w:vAlign w:val="center"/>
            <w:hideMark/>
          </w:tcPr>
          <w:p w14:paraId="23189D7D" w14:textId="64946A5E" w:rsidR="00B8162D" w:rsidRPr="00535A78" w:rsidRDefault="00B8162D" w:rsidP="00585B0A">
            <w:pPr>
              <w:widowControl/>
              <w:tabs>
                <w:tab w:val="left" w:pos="851"/>
                <w:tab w:val="left" w:pos="1134"/>
              </w:tabs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535A7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Style w:val="295pt"/>
                <w:rFonts w:eastAsia="Arial Unicode MS"/>
                <w:sz w:val="28"/>
                <w:szCs w:val="28"/>
                <w:vertAlign w:val="subscript"/>
              </w:rPr>
              <w:t>о</w:t>
            </w:r>
            <w:r w:rsidRPr="00535A7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 xml:space="preserve">    </w:t>
            </w:r>
            <w:r w:rsidRPr="00535A7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>=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25E8826" w14:textId="359B0614" w:rsidR="00B8162D" w:rsidRPr="00535A78" w:rsidRDefault="00B8162D" w:rsidP="00585B0A">
            <w:pPr>
              <w:widowControl/>
              <w:tabs>
                <w:tab w:val="left" w:pos="851"/>
                <w:tab w:val="left" w:pos="1134"/>
              </w:tabs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535A7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>К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>С</w:t>
            </w:r>
            <w:r w:rsidRPr="00535A7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vertAlign w:val="subscript"/>
                <w:lang w:bidi="ar-SA"/>
              </w:rPr>
              <w:t>о</w:t>
            </w:r>
          </w:p>
        </w:tc>
        <w:tc>
          <w:tcPr>
            <w:tcW w:w="1413" w:type="dxa"/>
            <w:vMerge w:val="restart"/>
            <w:vAlign w:val="center"/>
            <w:hideMark/>
          </w:tcPr>
          <w:p w14:paraId="7F99D512" w14:textId="77777777" w:rsidR="00B8162D" w:rsidRPr="00535A78" w:rsidRDefault="00B8162D" w:rsidP="00585B0A">
            <w:pPr>
              <w:widowControl/>
              <w:tabs>
                <w:tab w:val="left" w:pos="851"/>
                <w:tab w:val="left" w:pos="1134"/>
              </w:tabs>
              <w:jc w:val="both"/>
              <w:rPr>
                <w:rFonts w:ascii="Times New Roman" w:eastAsia="Calibri" w:hAnsi="Times New Roman" w:cs="Times New Roman"/>
                <w:i/>
                <w:color w:val="auto"/>
                <w:sz w:val="28"/>
                <w:szCs w:val="28"/>
                <w:lang w:bidi="ar-SA"/>
              </w:rPr>
            </w:pPr>
            <w:r w:rsidRPr="00535A78">
              <w:rPr>
                <w:rFonts w:ascii="Times New Roman" w:eastAsia="Calibri" w:hAnsi="Times New Roman" w:cs="Times New Roman"/>
                <w:i/>
                <w:color w:val="auto"/>
                <w:sz w:val="28"/>
                <w:szCs w:val="28"/>
                <w:lang w:bidi="ar-SA"/>
              </w:rPr>
              <w:t>, где</w:t>
            </w:r>
          </w:p>
        </w:tc>
      </w:tr>
      <w:tr w:rsidR="00B8162D" w:rsidRPr="00535A78" w14:paraId="21CB8D63" w14:textId="77777777" w:rsidTr="00585B0A">
        <w:tc>
          <w:tcPr>
            <w:tcW w:w="0" w:type="auto"/>
            <w:vMerge/>
            <w:vAlign w:val="center"/>
            <w:hideMark/>
          </w:tcPr>
          <w:p w14:paraId="6F77FE1C" w14:textId="77777777" w:rsidR="00B8162D" w:rsidRPr="00535A78" w:rsidRDefault="00B8162D" w:rsidP="00585B0A">
            <w:pPr>
              <w:widowControl/>
              <w:tabs>
                <w:tab w:val="left" w:pos="851"/>
                <w:tab w:val="left" w:pos="1134"/>
              </w:tabs>
              <w:ind w:firstLine="709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95C6B42" w14:textId="0FC3DABD" w:rsidR="00B8162D" w:rsidRPr="00535A78" w:rsidRDefault="00B8162D" w:rsidP="00585B0A">
            <w:pPr>
              <w:widowControl/>
              <w:tabs>
                <w:tab w:val="left" w:pos="851"/>
                <w:tab w:val="left" w:pos="1134"/>
              </w:tabs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535A7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>К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>С</w:t>
            </w:r>
            <w:r w:rsidRPr="00535A7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vertAlign w:val="subscript"/>
                <w:lang w:bidi="ar-SA"/>
              </w:rPr>
              <w:t>общ</w:t>
            </w:r>
          </w:p>
        </w:tc>
        <w:tc>
          <w:tcPr>
            <w:tcW w:w="0" w:type="auto"/>
            <w:vMerge/>
            <w:vAlign w:val="center"/>
            <w:hideMark/>
          </w:tcPr>
          <w:p w14:paraId="198BC32E" w14:textId="77777777" w:rsidR="00B8162D" w:rsidRPr="00535A78" w:rsidRDefault="00B8162D" w:rsidP="00585B0A">
            <w:pPr>
              <w:widowControl/>
              <w:tabs>
                <w:tab w:val="left" w:pos="851"/>
                <w:tab w:val="left" w:pos="1134"/>
              </w:tabs>
              <w:ind w:firstLine="709"/>
              <w:rPr>
                <w:rFonts w:ascii="Times New Roman" w:eastAsia="Calibri" w:hAnsi="Times New Roman" w:cs="Times New Roman"/>
                <w:i/>
                <w:color w:val="auto"/>
                <w:sz w:val="28"/>
                <w:szCs w:val="28"/>
                <w:lang w:bidi="ar-SA"/>
              </w:rPr>
            </w:pPr>
          </w:p>
        </w:tc>
      </w:tr>
    </w:tbl>
    <w:p w14:paraId="633A7749" w14:textId="77777777" w:rsidR="002E167C" w:rsidRPr="00535A78" w:rsidRDefault="00F66B25" w:rsidP="005B064D">
      <w:pPr>
        <w:pStyle w:val="20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proofErr w:type="spellStart"/>
      <w:r w:rsidRPr="00535A78">
        <w:rPr>
          <w:sz w:val="28"/>
          <w:szCs w:val="28"/>
        </w:rPr>
        <w:t>ДС</w:t>
      </w:r>
      <w:r w:rsidRPr="00535A78">
        <w:rPr>
          <w:sz w:val="28"/>
          <w:szCs w:val="28"/>
          <w:vertAlign w:val="subscript"/>
        </w:rPr>
        <w:t>о</w:t>
      </w:r>
      <w:proofErr w:type="spellEnd"/>
      <w:r w:rsidRPr="00535A78">
        <w:rPr>
          <w:sz w:val="28"/>
          <w:szCs w:val="28"/>
        </w:rPr>
        <w:t xml:space="preserve"> - доля сотрудников </w:t>
      </w:r>
      <w:r w:rsidR="002B3DF9" w:rsidRPr="00535A78">
        <w:rPr>
          <w:sz w:val="28"/>
          <w:szCs w:val="28"/>
        </w:rPr>
        <w:t>управы</w:t>
      </w:r>
      <w:r w:rsidRPr="00535A78">
        <w:rPr>
          <w:sz w:val="28"/>
          <w:szCs w:val="28"/>
        </w:rPr>
        <w:t>, в отношении которых были проведены обучающие мероприятия по антимонопольному законодательству и антимонопольному комплаенсу;</w:t>
      </w:r>
    </w:p>
    <w:p w14:paraId="54FF1FBB" w14:textId="77777777" w:rsidR="002E167C" w:rsidRPr="00535A78" w:rsidRDefault="00F66B25" w:rsidP="005B064D">
      <w:pPr>
        <w:pStyle w:val="20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proofErr w:type="spellStart"/>
      <w:r w:rsidRPr="00535A78">
        <w:rPr>
          <w:sz w:val="28"/>
          <w:szCs w:val="28"/>
        </w:rPr>
        <w:lastRenderedPageBreak/>
        <w:t>КС</w:t>
      </w:r>
      <w:r w:rsidRPr="00535A78">
        <w:rPr>
          <w:sz w:val="28"/>
          <w:szCs w:val="28"/>
          <w:vertAlign w:val="subscript"/>
        </w:rPr>
        <w:t>о</w:t>
      </w:r>
      <w:proofErr w:type="spellEnd"/>
      <w:r w:rsidRPr="00535A78">
        <w:rPr>
          <w:sz w:val="28"/>
          <w:szCs w:val="28"/>
        </w:rPr>
        <w:t xml:space="preserve"> - количество сотрудников </w:t>
      </w:r>
      <w:r w:rsidR="002B3DF9" w:rsidRPr="00535A78">
        <w:rPr>
          <w:sz w:val="28"/>
          <w:szCs w:val="28"/>
        </w:rPr>
        <w:t>управы</w:t>
      </w:r>
      <w:r w:rsidRPr="00535A78">
        <w:rPr>
          <w:sz w:val="28"/>
          <w:szCs w:val="28"/>
        </w:rPr>
        <w:t>, в отношении которых были проведены обучающие мероприятия по антимонопольному законодательству и антимонопольному комплаенсу;</w:t>
      </w:r>
    </w:p>
    <w:p w14:paraId="5A713E92" w14:textId="77777777" w:rsidR="002E167C" w:rsidRPr="00535A78" w:rsidRDefault="00F66B25" w:rsidP="005B064D">
      <w:pPr>
        <w:pStyle w:val="20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proofErr w:type="spellStart"/>
      <w:r w:rsidRPr="00535A78">
        <w:rPr>
          <w:sz w:val="28"/>
          <w:szCs w:val="28"/>
        </w:rPr>
        <w:t>КС</w:t>
      </w:r>
      <w:r w:rsidRPr="00535A78">
        <w:rPr>
          <w:sz w:val="28"/>
          <w:szCs w:val="28"/>
          <w:vertAlign w:val="subscript"/>
        </w:rPr>
        <w:t>общ</w:t>
      </w:r>
      <w:proofErr w:type="spellEnd"/>
      <w:r w:rsidRPr="00535A78">
        <w:rPr>
          <w:sz w:val="28"/>
          <w:szCs w:val="28"/>
        </w:rPr>
        <w:t xml:space="preserve"> - общее количество сотрудников </w:t>
      </w:r>
      <w:r w:rsidR="002B3DF9" w:rsidRPr="00535A78">
        <w:rPr>
          <w:sz w:val="28"/>
          <w:szCs w:val="28"/>
        </w:rPr>
        <w:t>управы</w:t>
      </w:r>
      <w:r w:rsidRPr="00535A78">
        <w:rPr>
          <w:sz w:val="28"/>
          <w:szCs w:val="28"/>
        </w:rPr>
        <w:t>, чьи трудовые (должностные) обязанности предусматривают выполнение функций, связанных с рисками нарушения антимонопольного законодательства.</w:t>
      </w:r>
    </w:p>
    <w:p w14:paraId="457A479F" w14:textId="77777777" w:rsidR="002B3DF9" w:rsidRPr="00535A78" w:rsidRDefault="002B3DF9" w:rsidP="00A77AEA">
      <w:pPr>
        <w:pStyle w:val="20"/>
        <w:shd w:val="clear" w:color="auto" w:fill="auto"/>
        <w:spacing w:before="0" w:line="240" w:lineRule="auto"/>
        <w:ind w:firstLine="880"/>
        <w:rPr>
          <w:sz w:val="28"/>
          <w:szCs w:val="28"/>
        </w:rPr>
      </w:pPr>
    </w:p>
    <w:p w14:paraId="7F1A7DC4" w14:textId="7F8D69F1" w:rsidR="00C10514" w:rsidRPr="00C10514" w:rsidRDefault="00C10514" w:rsidP="00C10514">
      <w:pPr>
        <w:pStyle w:val="20"/>
        <w:ind w:firstLine="900"/>
        <w:rPr>
          <w:b/>
          <w:sz w:val="28"/>
          <w:szCs w:val="28"/>
        </w:rPr>
      </w:pPr>
      <w:r w:rsidRPr="00C10514">
        <w:rPr>
          <w:b/>
          <w:sz w:val="28"/>
          <w:szCs w:val="28"/>
        </w:rPr>
        <w:t>III.</w:t>
      </w:r>
      <w:r w:rsidRPr="00C10514">
        <w:rPr>
          <w:b/>
          <w:sz w:val="28"/>
          <w:szCs w:val="28"/>
        </w:rPr>
        <w:tab/>
        <w:t xml:space="preserve">Оценка значений КПЭ для управы района </w:t>
      </w:r>
      <w:r w:rsidR="00154F3F">
        <w:rPr>
          <w:b/>
          <w:sz w:val="28"/>
          <w:szCs w:val="28"/>
        </w:rPr>
        <w:t>Измайлово</w:t>
      </w:r>
      <w:r w:rsidRPr="00C10514">
        <w:rPr>
          <w:b/>
          <w:sz w:val="28"/>
          <w:szCs w:val="28"/>
        </w:rPr>
        <w:t xml:space="preserve"> города Москвы в целом и КПЭ для уполномоченного </w:t>
      </w:r>
      <w:r w:rsidR="0037232C">
        <w:rPr>
          <w:b/>
          <w:sz w:val="28"/>
          <w:szCs w:val="28"/>
        </w:rPr>
        <w:t>должностного лица</w:t>
      </w:r>
    </w:p>
    <w:p w14:paraId="3657D4B2" w14:textId="29A7FA31" w:rsidR="00C10514" w:rsidRPr="00C10514" w:rsidRDefault="00C10514" w:rsidP="00C10514">
      <w:pPr>
        <w:pStyle w:val="20"/>
        <w:spacing w:before="0" w:line="240" w:lineRule="auto"/>
        <w:ind w:firstLine="902"/>
        <w:rPr>
          <w:sz w:val="28"/>
          <w:szCs w:val="28"/>
        </w:rPr>
      </w:pPr>
      <w:r w:rsidRPr="00C10514">
        <w:rPr>
          <w:sz w:val="28"/>
          <w:szCs w:val="28"/>
        </w:rPr>
        <w:t>3.1.</w:t>
      </w:r>
      <w:r w:rsidRPr="00C10514">
        <w:rPr>
          <w:sz w:val="28"/>
          <w:szCs w:val="28"/>
        </w:rPr>
        <w:tab/>
        <w:t xml:space="preserve">Оценка значений КПЭ «коэффициент снижения количества нарушений антимонопольного законодательства со стороны </w:t>
      </w:r>
      <w:r w:rsidR="00B8162D">
        <w:rPr>
          <w:rFonts w:hint="eastAsia"/>
          <w:sz w:val="28"/>
          <w:szCs w:val="28"/>
        </w:rPr>
        <w:t xml:space="preserve">управы района </w:t>
      </w:r>
      <w:r w:rsidR="00154F3F">
        <w:rPr>
          <w:rFonts w:hint="eastAsia"/>
          <w:sz w:val="28"/>
          <w:szCs w:val="28"/>
        </w:rPr>
        <w:t>Измайлово</w:t>
      </w:r>
      <w:r w:rsidR="00B8162D">
        <w:rPr>
          <w:rFonts w:hint="eastAsia"/>
          <w:sz w:val="28"/>
          <w:szCs w:val="28"/>
        </w:rPr>
        <w:t xml:space="preserve"> </w:t>
      </w:r>
      <w:r w:rsidRPr="00C10514">
        <w:rPr>
          <w:sz w:val="28"/>
          <w:szCs w:val="28"/>
        </w:rPr>
        <w:t>города Москвы».</w:t>
      </w:r>
    </w:p>
    <w:p w14:paraId="62877A51" w14:textId="2FB7F0F0" w:rsidR="00C10514" w:rsidRPr="00C10514" w:rsidRDefault="00C10514" w:rsidP="00C10514">
      <w:pPr>
        <w:pStyle w:val="20"/>
        <w:spacing w:before="0" w:line="240" w:lineRule="auto"/>
        <w:ind w:firstLine="902"/>
        <w:rPr>
          <w:sz w:val="28"/>
          <w:szCs w:val="28"/>
        </w:rPr>
      </w:pPr>
      <w:r w:rsidRPr="00C10514">
        <w:rPr>
          <w:sz w:val="28"/>
          <w:szCs w:val="28"/>
        </w:rPr>
        <w:t xml:space="preserve">Ключевой показатель «коэффициент снижения количества нарушений антимонопольного законодательства со стороны </w:t>
      </w:r>
      <w:r w:rsidR="00B8162D">
        <w:rPr>
          <w:rFonts w:hint="eastAsia"/>
          <w:sz w:val="28"/>
          <w:szCs w:val="28"/>
        </w:rPr>
        <w:t xml:space="preserve">управы района </w:t>
      </w:r>
      <w:r w:rsidR="00154F3F">
        <w:rPr>
          <w:rFonts w:hint="eastAsia"/>
          <w:sz w:val="28"/>
          <w:szCs w:val="28"/>
        </w:rPr>
        <w:t>Измайлово</w:t>
      </w:r>
      <w:r w:rsidR="00B8162D">
        <w:rPr>
          <w:rFonts w:hint="eastAsia"/>
          <w:sz w:val="28"/>
          <w:szCs w:val="28"/>
        </w:rPr>
        <w:t xml:space="preserve"> </w:t>
      </w:r>
      <w:r w:rsidRPr="00C10514">
        <w:rPr>
          <w:sz w:val="28"/>
          <w:szCs w:val="28"/>
        </w:rPr>
        <w:t xml:space="preserve">города Москвы» направлен на снижение количества нарушений антимонопольного законодательства со стороны </w:t>
      </w:r>
      <w:r w:rsidR="00B8162D">
        <w:rPr>
          <w:rFonts w:hint="eastAsia"/>
          <w:sz w:val="28"/>
          <w:szCs w:val="28"/>
        </w:rPr>
        <w:t xml:space="preserve">управы района </w:t>
      </w:r>
      <w:r w:rsidR="00154F3F">
        <w:rPr>
          <w:rFonts w:hint="eastAsia"/>
          <w:sz w:val="28"/>
          <w:szCs w:val="28"/>
        </w:rPr>
        <w:t>Измайлово</w:t>
      </w:r>
      <w:r w:rsidR="00B8162D">
        <w:rPr>
          <w:rFonts w:hint="eastAsia"/>
          <w:sz w:val="28"/>
          <w:szCs w:val="28"/>
        </w:rPr>
        <w:t xml:space="preserve"> </w:t>
      </w:r>
      <w:r w:rsidRPr="00C10514">
        <w:rPr>
          <w:sz w:val="28"/>
          <w:szCs w:val="28"/>
        </w:rPr>
        <w:t>города Москвы в отчетном периоде по сравнению с предшествующим периодом».</w:t>
      </w:r>
    </w:p>
    <w:p w14:paraId="026C6479" w14:textId="7172B713" w:rsidR="00C10514" w:rsidRPr="00C10514" w:rsidRDefault="00C10514" w:rsidP="00C10514">
      <w:pPr>
        <w:pStyle w:val="20"/>
        <w:spacing w:before="0" w:line="240" w:lineRule="auto"/>
        <w:ind w:firstLine="902"/>
        <w:rPr>
          <w:sz w:val="28"/>
          <w:szCs w:val="28"/>
        </w:rPr>
      </w:pPr>
      <w:r w:rsidRPr="00C10514">
        <w:rPr>
          <w:sz w:val="28"/>
          <w:szCs w:val="28"/>
        </w:rPr>
        <w:t xml:space="preserve">Ежегодная оценка значения КПЭ «коэффициент снижения количества нарушений антимонопольного законодательства со стороны </w:t>
      </w:r>
      <w:r w:rsidR="00B8162D">
        <w:rPr>
          <w:rFonts w:hint="eastAsia"/>
          <w:sz w:val="28"/>
          <w:szCs w:val="28"/>
        </w:rPr>
        <w:t xml:space="preserve">управы района </w:t>
      </w:r>
      <w:r w:rsidR="00154F3F">
        <w:rPr>
          <w:rFonts w:hint="eastAsia"/>
          <w:sz w:val="28"/>
          <w:szCs w:val="28"/>
        </w:rPr>
        <w:t>Измайлово</w:t>
      </w:r>
      <w:r w:rsidR="00B8162D">
        <w:rPr>
          <w:rFonts w:hint="eastAsia"/>
          <w:sz w:val="28"/>
          <w:szCs w:val="28"/>
        </w:rPr>
        <w:t xml:space="preserve"> </w:t>
      </w:r>
      <w:r w:rsidRPr="00C10514">
        <w:rPr>
          <w:sz w:val="28"/>
          <w:szCs w:val="28"/>
        </w:rPr>
        <w:t xml:space="preserve">города Москвы» призвана обеспечить понимание об эффективности функционирования антимонопольного комплаенса в органе исполнительной власти города Москвы и о соответствии мероприятий антимонопольного </w:t>
      </w:r>
      <w:proofErr w:type="spellStart"/>
      <w:r w:rsidRPr="00C10514">
        <w:rPr>
          <w:sz w:val="28"/>
          <w:szCs w:val="28"/>
        </w:rPr>
        <w:t>комплаенса</w:t>
      </w:r>
      <w:proofErr w:type="spellEnd"/>
      <w:r w:rsidRPr="00C10514">
        <w:rPr>
          <w:sz w:val="28"/>
          <w:szCs w:val="28"/>
        </w:rPr>
        <w:t xml:space="preserve"> </w:t>
      </w:r>
      <w:r w:rsidR="00B8162D">
        <w:rPr>
          <w:rFonts w:hint="eastAsia"/>
          <w:sz w:val="28"/>
          <w:szCs w:val="28"/>
        </w:rPr>
        <w:t xml:space="preserve">управы района </w:t>
      </w:r>
      <w:r w:rsidR="00154F3F">
        <w:rPr>
          <w:rFonts w:hint="eastAsia"/>
          <w:sz w:val="28"/>
          <w:szCs w:val="28"/>
        </w:rPr>
        <w:t>Измайлово</w:t>
      </w:r>
      <w:r w:rsidR="00B8162D">
        <w:rPr>
          <w:rFonts w:hint="eastAsia"/>
          <w:sz w:val="28"/>
          <w:szCs w:val="28"/>
        </w:rPr>
        <w:t xml:space="preserve"> </w:t>
      </w:r>
      <w:r w:rsidRPr="00C10514">
        <w:rPr>
          <w:sz w:val="28"/>
          <w:szCs w:val="28"/>
        </w:rPr>
        <w:t>города Москвы направлениям совершенствования государственной политики по развитию конкуренции.</w:t>
      </w:r>
    </w:p>
    <w:p w14:paraId="135730C7" w14:textId="2F3CB4A3" w:rsidR="00C10514" w:rsidRPr="00C10514" w:rsidRDefault="00C10514" w:rsidP="00C10514">
      <w:pPr>
        <w:pStyle w:val="20"/>
        <w:spacing w:before="0" w:line="240" w:lineRule="auto"/>
        <w:ind w:firstLine="902"/>
        <w:rPr>
          <w:sz w:val="28"/>
          <w:szCs w:val="28"/>
        </w:rPr>
      </w:pPr>
      <w:r w:rsidRPr="00C10514">
        <w:rPr>
          <w:sz w:val="28"/>
          <w:szCs w:val="28"/>
        </w:rPr>
        <w:t>3.2.</w:t>
      </w:r>
      <w:r w:rsidRPr="00C10514">
        <w:rPr>
          <w:sz w:val="28"/>
          <w:szCs w:val="28"/>
        </w:rPr>
        <w:tab/>
        <w:t xml:space="preserve">Оценка значений КПЭ «доля проектов правовых актов </w:t>
      </w:r>
      <w:r w:rsidR="00B8162D">
        <w:rPr>
          <w:rFonts w:hint="eastAsia"/>
          <w:sz w:val="28"/>
          <w:szCs w:val="28"/>
        </w:rPr>
        <w:t xml:space="preserve">управы района </w:t>
      </w:r>
      <w:r w:rsidR="00154F3F">
        <w:rPr>
          <w:rFonts w:hint="eastAsia"/>
          <w:sz w:val="28"/>
          <w:szCs w:val="28"/>
        </w:rPr>
        <w:t>Измайлово</w:t>
      </w:r>
      <w:r w:rsidR="00B8162D">
        <w:rPr>
          <w:rFonts w:hint="eastAsia"/>
          <w:sz w:val="28"/>
          <w:szCs w:val="28"/>
        </w:rPr>
        <w:t xml:space="preserve"> </w:t>
      </w:r>
      <w:r w:rsidRPr="00C10514">
        <w:rPr>
          <w:sz w:val="28"/>
          <w:szCs w:val="28"/>
        </w:rPr>
        <w:t xml:space="preserve">города Москвы, в которых выявлены риски нарушения антимонопольного законодательства» и «доля правовых актов </w:t>
      </w:r>
      <w:r w:rsidR="00B8162D">
        <w:rPr>
          <w:rFonts w:hint="eastAsia"/>
          <w:sz w:val="28"/>
          <w:szCs w:val="28"/>
        </w:rPr>
        <w:t xml:space="preserve">управы района </w:t>
      </w:r>
      <w:r w:rsidR="00154F3F">
        <w:rPr>
          <w:rFonts w:hint="eastAsia"/>
          <w:sz w:val="28"/>
          <w:szCs w:val="28"/>
        </w:rPr>
        <w:t>Измайлово</w:t>
      </w:r>
      <w:r w:rsidR="00B8162D">
        <w:rPr>
          <w:rFonts w:hint="eastAsia"/>
          <w:sz w:val="28"/>
          <w:szCs w:val="28"/>
        </w:rPr>
        <w:t xml:space="preserve"> </w:t>
      </w:r>
      <w:r w:rsidRPr="00C10514">
        <w:rPr>
          <w:sz w:val="28"/>
          <w:szCs w:val="28"/>
        </w:rPr>
        <w:t>города Москвы, в которых выявлены риски нарушения антимонопольного законодательства».</w:t>
      </w:r>
    </w:p>
    <w:p w14:paraId="12F70C54" w14:textId="77777777" w:rsidR="00C10514" w:rsidRPr="00C10514" w:rsidRDefault="00C10514" w:rsidP="00C10514">
      <w:pPr>
        <w:pStyle w:val="20"/>
        <w:spacing w:before="0" w:line="240" w:lineRule="auto"/>
        <w:ind w:firstLine="902"/>
        <w:rPr>
          <w:sz w:val="28"/>
          <w:szCs w:val="28"/>
        </w:rPr>
      </w:pPr>
      <w:r w:rsidRPr="00C10514">
        <w:rPr>
          <w:sz w:val="28"/>
          <w:szCs w:val="28"/>
        </w:rPr>
        <w:t>Оценка вышеуказанных значений КПЭ направлена на понимание эффективности мероприятий антимонопольного комплаенса, предусмотренных подпунктами «б» и «в» пункта 4.1 Методических рекомендаций.</w:t>
      </w:r>
    </w:p>
    <w:p w14:paraId="2AA0A851" w14:textId="3A5393DA" w:rsidR="00C10514" w:rsidRPr="00C10514" w:rsidRDefault="00C10514" w:rsidP="00C10514">
      <w:pPr>
        <w:pStyle w:val="20"/>
        <w:spacing w:before="0" w:line="240" w:lineRule="auto"/>
        <w:ind w:firstLine="902"/>
        <w:rPr>
          <w:sz w:val="28"/>
          <w:szCs w:val="28"/>
        </w:rPr>
      </w:pPr>
      <w:proofErr w:type="gramStart"/>
      <w:r w:rsidRPr="00C10514">
        <w:rPr>
          <w:sz w:val="28"/>
          <w:szCs w:val="28"/>
        </w:rPr>
        <w:t xml:space="preserve">При эффективном проведении мероприятий по анализу правовых актов </w:t>
      </w:r>
      <w:r w:rsidR="00B8162D">
        <w:rPr>
          <w:rFonts w:hint="eastAsia"/>
          <w:sz w:val="28"/>
          <w:szCs w:val="28"/>
        </w:rPr>
        <w:t xml:space="preserve">управы района </w:t>
      </w:r>
      <w:r w:rsidR="00154F3F">
        <w:rPr>
          <w:rFonts w:hint="eastAsia"/>
          <w:sz w:val="28"/>
          <w:szCs w:val="28"/>
        </w:rPr>
        <w:t>Измайлово</w:t>
      </w:r>
      <w:r w:rsidR="00B8162D">
        <w:rPr>
          <w:rFonts w:hint="eastAsia"/>
          <w:sz w:val="28"/>
          <w:szCs w:val="28"/>
        </w:rPr>
        <w:t xml:space="preserve"> </w:t>
      </w:r>
      <w:r w:rsidRPr="00C10514">
        <w:rPr>
          <w:sz w:val="28"/>
          <w:szCs w:val="28"/>
        </w:rPr>
        <w:t xml:space="preserve">города Москвы и их проектов на предмет выявления заложенных в них рисков нарушения антимонопольного законодательства (то есть, при высоком значении числителя) должно наблюдаться уменьшение правовых актов </w:t>
      </w:r>
      <w:r w:rsidR="00B8162D">
        <w:rPr>
          <w:rFonts w:hint="eastAsia"/>
          <w:sz w:val="28"/>
          <w:szCs w:val="28"/>
        </w:rPr>
        <w:t xml:space="preserve">управы района </w:t>
      </w:r>
      <w:r w:rsidR="00154F3F">
        <w:rPr>
          <w:rFonts w:hint="eastAsia"/>
          <w:sz w:val="28"/>
          <w:szCs w:val="28"/>
        </w:rPr>
        <w:t>Измайлово</w:t>
      </w:r>
      <w:r w:rsidR="00B8162D">
        <w:rPr>
          <w:rFonts w:hint="eastAsia"/>
          <w:sz w:val="28"/>
          <w:szCs w:val="28"/>
        </w:rPr>
        <w:t xml:space="preserve"> </w:t>
      </w:r>
      <w:r w:rsidRPr="00C10514">
        <w:rPr>
          <w:sz w:val="28"/>
          <w:szCs w:val="28"/>
        </w:rPr>
        <w:t>города Москвы, в отношении которых антимонопольным органом выявлены нарушения антимонопольного законодательства (то есть, низкое значение знаменателя).</w:t>
      </w:r>
      <w:proofErr w:type="gramEnd"/>
      <w:r w:rsidRPr="00C10514">
        <w:rPr>
          <w:sz w:val="28"/>
          <w:szCs w:val="28"/>
        </w:rPr>
        <w:t xml:space="preserve"> Таким образом, значение КПЭ будет тем выше, чем эффективней данные мероприятия антимонопольного комплаенса будут осуществляться уполномоченным должностным лицом. </w:t>
      </w:r>
      <w:proofErr w:type="gramStart"/>
      <w:r w:rsidRPr="00C10514">
        <w:rPr>
          <w:sz w:val="28"/>
          <w:szCs w:val="28"/>
        </w:rPr>
        <w:t>И</w:t>
      </w:r>
      <w:proofErr w:type="gramEnd"/>
      <w:r w:rsidRPr="00C10514">
        <w:rPr>
          <w:sz w:val="28"/>
          <w:szCs w:val="28"/>
        </w:rPr>
        <w:t xml:space="preserve"> наоборот, при невысоком значении долей правовых актов и их проектов (числитель) наряду с высоким количеством выявленных </w:t>
      </w:r>
      <w:r w:rsidRPr="00C10514">
        <w:rPr>
          <w:sz w:val="28"/>
          <w:szCs w:val="28"/>
        </w:rPr>
        <w:lastRenderedPageBreak/>
        <w:t>антимонопольным органом нарушений антимонопольного законодательства в таких актах (знаменатель), низкие значения КПЭ будут свидетельствовать о низкой эффективности данных мероприятий.</w:t>
      </w:r>
    </w:p>
    <w:p w14:paraId="7065EEEF" w14:textId="66A09C47" w:rsidR="00C10514" w:rsidRPr="00C10514" w:rsidRDefault="00C10514" w:rsidP="00C10514">
      <w:pPr>
        <w:pStyle w:val="20"/>
        <w:spacing w:before="0" w:line="240" w:lineRule="auto"/>
        <w:ind w:firstLine="902"/>
        <w:rPr>
          <w:sz w:val="28"/>
          <w:szCs w:val="28"/>
        </w:rPr>
      </w:pPr>
      <w:r w:rsidRPr="00C10514">
        <w:rPr>
          <w:sz w:val="28"/>
          <w:szCs w:val="28"/>
        </w:rPr>
        <w:t>3.3.</w:t>
      </w:r>
      <w:r w:rsidRPr="00C10514">
        <w:rPr>
          <w:sz w:val="28"/>
          <w:szCs w:val="28"/>
        </w:rPr>
        <w:tab/>
        <w:t xml:space="preserve">Оценка значения КПЭ «доля сотрудников </w:t>
      </w:r>
      <w:r w:rsidR="00B8162D">
        <w:rPr>
          <w:rFonts w:hint="eastAsia"/>
          <w:sz w:val="28"/>
          <w:szCs w:val="28"/>
        </w:rPr>
        <w:t xml:space="preserve">управы района </w:t>
      </w:r>
      <w:r w:rsidR="00154F3F">
        <w:rPr>
          <w:rFonts w:hint="eastAsia"/>
          <w:sz w:val="28"/>
          <w:szCs w:val="28"/>
        </w:rPr>
        <w:t>Измайлово</w:t>
      </w:r>
      <w:r w:rsidR="00B8162D">
        <w:rPr>
          <w:rFonts w:hint="eastAsia"/>
          <w:sz w:val="28"/>
          <w:szCs w:val="28"/>
        </w:rPr>
        <w:t xml:space="preserve"> </w:t>
      </w:r>
      <w:r w:rsidRPr="00C10514">
        <w:rPr>
          <w:sz w:val="28"/>
          <w:szCs w:val="28"/>
        </w:rPr>
        <w:t xml:space="preserve">города Москвы, в отношении которых были проведены обучающие мероприятия по антимонопольному законодательству и антимонопольному </w:t>
      </w:r>
      <w:proofErr w:type="spellStart"/>
      <w:r w:rsidRPr="00C10514">
        <w:rPr>
          <w:sz w:val="28"/>
          <w:szCs w:val="28"/>
        </w:rPr>
        <w:t>комплаенсу</w:t>
      </w:r>
      <w:proofErr w:type="spellEnd"/>
      <w:r w:rsidRPr="00C10514">
        <w:rPr>
          <w:sz w:val="28"/>
          <w:szCs w:val="28"/>
        </w:rPr>
        <w:t>».</w:t>
      </w:r>
    </w:p>
    <w:p w14:paraId="118C39EB" w14:textId="7800F5EC" w:rsidR="00C10514" w:rsidRPr="00C10514" w:rsidRDefault="00C10514" w:rsidP="00C10514">
      <w:pPr>
        <w:pStyle w:val="20"/>
        <w:spacing w:before="0" w:line="240" w:lineRule="auto"/>
        <w:ind w:firstLine="902"/>
        <w:rPr>
          <w:sz w:val="28"/>
          <w:szCs w:val="28"/>
        </w:rPr>
      </w:pPr>
      <w:r w:rsidRPr="00C10514">
        <w:rPr>
          <w:sz w:val="28"/>
          <w:szCs w:val="28"/>
        </w:rPr>
        <w:t xml:space="preserve">Консультирование и обучение сотрудников </w:t>
      </w:r>
      <w:r w:rsidR="00B8162D">
        <w:rPr>
          <w:rFonts w:hint="eastAsia"/>
          <w:sz w:val="28"/>
          <w:szCs w:val="28"/>
        </w:rPr>
        <w:t xml:space="preserve">управы района </w:t>
      </w:r>
      <w:r w:rsidR="00154F3F">
        <w:rPr>
          <w:rFonts w:hint="eastAsia"/>
          <w:sz w:val="28"/>
          <w:szCs w:val="28"/>
        </w:rPr>
        <w:t>Измайлово</w:t>
      </w:r>
      <w:r w:rsidR="00B8162D">
        <w:rPr>
          <w:rFonts w:hint="eastAsia"/>
          <w:sz w:val="28"/>
          <w:szCs w:val="28"/>
        </w:rPr>
        <w:t xml:space="preserve"> </w:t>
      </w:r>
      <w:r w:rsidRPr="00C10514">
        <w:rPr>
          <w:sz w:val="28"/>
          <w:szCs w:val="28"/>
        </w:rPr>
        <w:t xml:space="preserve">города Москвы по вопросам, связанным с соблюдением антимонопольного законодательства и антимонопольным комплаенсом, отнесено к компетенции уполномоченного </w:t>
      </w:r>
      <w:r w:rsidR="0037232C">
        <w:rPr>
          <w:sz w:val="28"/>
          <w:szCs w:val="28"/>
        </w:rPr>
        <w:t>должностного лица</w:t>
      </w:r>
      <w:r w:rsidRPr="00C10514">
        <w:rPr>
          <w:sz w:val="28"/>
          <w:szCs w:val="28"/>
        </w:rPr>
        <w:t xml:space="preserve"> согласно подпунктам «ж», «н» пункта 3.4 Методических рекомендаций и направлено на профилактику нарушений требований антимонопольного законодательства в деятельности </w:t>
      </w:r>
      <w:r w:rsidR="00B8162D">
        <w:rPr>
          <w:rFonts w:hint="eastAsia"/>
          <w:sz w:val="28"/>
          <w:szCs w:val="28"/>
        </w:rPr>
        <w:t xml:space="preserve">управы района </w:t>
      </w:r>
      <w:r w:rsidR="00154F3F">
        <w:rPr>
          <w:rFonts w:hint="eastAsia"/>
          <w:sz w:val="28"/>
          <w:szCs w:val="28"/>
        </w:rPr>
        <w:t>Измайлово</w:t>
      </w:r>
      <w:r w:rsidR="00B8162D">
        <w:rPr>
          <w:rFonts w:hint="eastAsia"/>
          <w:sz w:val="28"/>
          <w:szCs w:val="28"/>
        </w:rPr>
        <w:t xml:space="preserve"> </w:t>
      </w:r>
      <w:r w:rsidRPr="00C10514">
        <w:rPr>
          <w:sz w:val="28"/>
          <w:szCs w:val="28"/>
        </w:rPr>
        <w:t xml:space="preserve">города Москвы. В том числе от эффективности работы уполномоченного </w:t>
      </w:r>
      <w:r w:rsidR="0037232C">
        <w:rPr>
          <w:sz w:val="28"/>
          <w:szCs w:val="28"/>
        </w:rPr>
        <w:t>должностного лица</w:t>
      </w:r>
      <w:r w:rsidRPr="00C10514">
        <w:rPr>
          <w:sz w:val="28"/>
          <w:szCs w:val="28"/>
        </w:rPr>
        <w:t xml:space="preserve"> по данному направлению напрямую зависит возможность достижения целей Национального плана, предусмотренных подпунктом «б» пункта 1 Национального плана.</w:t>
      </w:r>
    </w:p>
    <w:p w14:paraId="4B969FD9" w14:textId="5F43B0C3" w:rsidR="00F60F01" w:rsidRDefault="00C10514" w:rsidP="00C10514">
      <w:pPr>
        <w:pStyle w:val="20"/>
        <w:shd w:val="clear" w:color="auto" w:fill="auto"/>
        <w:spacing w:before="0" w:line="240" w:lineRule="auto"/>
        <w:ind w:firstLine="902"/>
        <w:rPr>
          <w:sz w:val="28"/>
          <w:szCs w:val="28"/>
        </w:rPr>
      </w:pPr>
      <w:r w:rsidRPr="00C10514">
        <w:rPr>
          <w:sz w:val="28"/>
          <w:szCs w:val="28"/>
        </w:rPr>
        <w:t xml:space="preserve">Расчет данного показателя предусматривает определение сотрудников </w:t>
      </w:r>
      <w:r w:rsidR="00B8162D">
        <w:rPr>
          <w:rFonts w:hint="eastAsia"/>
          <w:sz w:val="28"/>
          <w:szCs w:val="28"/>
        </w:rPr>
        <w:t xml:space="preserve">управы района </w:t>
      </w:r>
      <w:r w:rsidR="00154F3F">
        <w:rPr>
          <w:rFonts w:hint="eastAsia"/>
          <w:sz w:val="28"/>
          <w:szCs w:val="28"/>
        </w:rPr>
        <w:t>Измайлово</w:t>
      </w:r>
      <w:r w:rsidR="00B8162D">
        <w:rPr>
          <w:rFonts w:hint="eastAsia"/>
          <w:sz w:val="28"/>
          <w:szCs w:val="28"/>
        </w:rPr>
        <w:t xml:space="preserve"> </w:t>
      </w:r>
      <w:r w:rsidRPr="00C10514">
        <w:rPr>
          <w:sz w:val="28"/>
          <w:szCs w:val="28"/>
        </w:rPr>
        <w:t>города Москвы, чьи трудовые (должностные) обязанности предусматривают выполнение функций, связанных с рисками нарушения антимонопольного законодательства, и определение из их числа количества сотрудников, с которыми были проведены обучающие мероприятия по антимонопольному законодательству и антимонопольному комплаенсу. Высокое значение количества сотрудников, с которыми были проведены обучающие мероприятия по антимонопольному законодательству и антимонопольному комплаенсу (числитель), обеспечивает высокое значение КПЭ.</w:t>
      </w:r>
    </w:p>
    <w:p w14:paraId="6C7F1980" w14:textId="77777777" w:rsidR="00535A78" w:rsidRPr="00535A78" w:rsidRDefault="00535A78" w:rsidP="00A77AEA">
      <w:pPr>
        <w:pStyle w:val="20"/>
        <w:shd w:val="clear" w:color="auto" w:fill="auto"/>
        <w:spacing w:before="0" w:line="240" w:lineRule="auto"/>
        <w:ind w:firstLine="900"/>
        <w:rPr>
          <w:sz w:val="28"/>
          <w:szCs w:val="28"/>
        </w:rPr>
      </w:pPr>
    </w:p>
    <w:sectPr w:rsidR="00535A78" w:rsidRPr="00535A78" w:rsidSect="007E5C22">
      <w:pgSz w:w="11900" w:h="16840"/>
      <w:pgMar w:top="992" w:right="816" w:bottom="1134" w:left="1559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67A9C7" w14:textId="77777777" w:rsidR="00913555" w:rsidRDefault="00913555">
      <w:r>
        <w:separator/>
      </w:r>
    </w:p>
  </w:endnote>
  <w:endnote w:type="continuationSeparator" w:id="0">
    <w:p w14:paraId="228E2AAF" w14:textId="77777777" w:rsidR="00913555" w:rsidRDefault="00913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C10A0E" w14:textId="77777777" w:rsidR="00913555" w:rsidRDefault="00913555"/>
  </w:footnote>
  <w:footnote w:type="continuationSeparator" w:id="0">
    <w:p w14:paraId="318256FB" w14:textId="77777777" w:rsidR="00913555" w:rsidRDefault="0091355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65191"/>
    <w:multiLevelType w:val="multilevel"/>
    <w:tmpl w:val="1A70812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A81AC3"/>
    <w:multiLevelType w:val="multilevel"/>
    <w:tmpl w:val="DDEE992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D237EB"/>
    <w:multiLevelType w:val="multilevel"/>
    <w:tmpl w:val="D7267C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5E7620F"/>
    <w:multiLevelType w:val="multilevel"/>
    <w:tmpl w:val="249AA0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30E4D74"/>
    <w:multiLevelType w:val="multilevel"/>
    <w:tmpl w:val="4CC0F7F6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47CD4763"/>
    <w:multiLevelType w:val="multilevel"/>
    <w:tmpl w:val="D47C43D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B494078"/>
    <w:multiLevelType w:val="multilevel"/>
    <w:tmpl w:val="1E5ADC04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B7C7754"/>
    <w:multiLevelType w:val="multilevel"/>
    <w:tmpl w:val="2DC2EECA"/>
    <w:lvl w:ilvl="0">
      <w:start w:val="3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5F04552E"/>
    <w:multiLevelType w:val="multilevel"/>
    <w:tmpl w:val="0602D5A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3FB3B34"/>
    <w:multiLevelType w:val="multilevel"/>
    <w:tmpl w:val="DBE433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8"/>
  </w:num>
  <w:num w:numId="7">
    <w:abstractNumId w:val="2"/>
  </w:num>
  <w:num w:numId="8">
    <w:abstractNumId w:val="9"/>
  </w:num>
  <w:num w:numId="9">
    <w:abstractNumId w:val="7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mirrorMargins/>
  <w:proofState w:spelling="clean" w:grammar="clean"/>
  <w:defaultTabStop w:val="709"/>
  <w:drawingGridHorizontalSpacing w:val="181"/>
  <w:drawingGridVerticalSpacing w:val="181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67C"/>
    <w:rsid w:val="00030B07"/>
    <w:rsid w:val="00092B61"/>
    <w:rsid w:val="00154F3F"/>
    <w:rsid w:val="001B0C4F"/>
    <w:rsid w:val="001B0F61"/>
    <w:rsid w:val="002353B4"/>
    <w:rsid w:val="00285FF3"/>
    <w:rsid w:val="00291163"/>
    <w:rsid w:val="002B3DF9"/>
    <w:rsid w:val="002E167C"/>
    <w:rsid w:val="00327CEE"/>
    <w:rsid w:val="00334526"/>
    <w:rsid w:val="00356D40"/>
    <w:rsid w:val="0037232C"/>
    <w:rsid w:val="003F05FD"/>
    <w:rsid w:val="004A0CA3"/>
    <w:rsid w:val="00535A78"/>
    <w:rsid w:val="0054781F"/>
    <w:rsid w:val="005B064D"/>
    <w:rsid w:val="00660339"/>
    <w:rsid w:val="00751E33"/>
    <w:rsid w:val="00754560"/>
    <w:rsid w:val="00776AB0"/>
    <w:rsid w:val="007944CE"/>
    <w:rsid w:val="007A607F"/>
    <w:rsid w:val="007E5C22"/>
    <w:rsid w:val="00801B8A"/>
    <w:rsid w:val="0085419E"/>
    <w:rsid w:val="00870FAD"/>
    <w:rsid w:val="00886196"/>
    <w:rsid w:val="008B2BAD"/>
    <w:rsid w:val="008B6C83"/>
    <w:rsid w:val="00913555"/>
    <w:rsid w:val="00921D70"/>
    <w:rsid w:val="00985895"/>
    <w:rsid w:val="009D5E7E"/>
    <w:rsid w:val="00A4402B"/>
    <w:rsid w:val="00A63CF1"/>
    <w:rsid w:val="00A66053"/>
    <w:rsid w:val="00A77AEA"/>
    <w:rsid w:val="00A83C0F"/>
    <w:rsid w:val="00B5395D"/>
    <w:rsid w:val="00B64CD1"/>
    <w:rsid w:val="00B76059"/>
    <w:rsid w:val="00B8162D"/>
    <w:rsid w:val="00B91262"/>
    <w:rsid w:val="00B93109"/>
    <w:rsid w:val="00C10514"/>
    <w:rsid w:val="00C1072E"/>
    <w:rsid w:val="00C87881"/>
    <w:rsid w:val="00D42F68"/>
    <w:rsid w:val="00E00B98"/>
    <w:rsid w:val="00E76B02"/>
    <w:rsid w:val="00F60F01"/>
    <w:rsid w:val="00F66B25"/>
    <w:rsid w:val="00F8666A"/>
    <w:rsid w:val="00F92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A474B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8162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66053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A660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A660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Corbel12pt">
    <w:name w:val="Основной текст (2) + Corbel;12 pt"/>
    <w:basedOn w:val="2"/>
    <w:rsid w:val="00A66053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sid w:val="00A6605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Колонтитул"/>
    <w:basedOn w:val="a4"/>
    <w:rsid w:val="00A6605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A660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8TrebuchetMS85pt">
    <w:name w:val="Основной текст (8) + Trebuchet MS;8;5 pt;Полужирный"/>
    <w:basedOn w:val="8"/>
    <w:rsid w:val="00A66053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A66053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0"/>
      <w:sz w:val="17"/>
      <w:szCs w:val="17"/>
      <w:u w:val="none"/>
    </w:rPr>
  </w:style>
  <w:style w:type="character" w:customStyle="1" w:styleId="295pt">
    <w:name w:val="Основной текст (2) + 9;5 pt"/>
    <w:basedOn w:val="2"/>
    <w:rsid w:val="00A660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813pt">
    <w:name w:val="Основной текст (8) + 13 pt"/>
    <w:basedOn w:val="8"/>
    <w:rsid w:val="00A660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813pt0pt">
    <w:name w:val="Основной текст (8) + 13 pt;Курсив;Интервал 0 pt"/>
    <w:basedOn w:val="8"/>
    <w:rsid w:val="00A6605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">
    <w:name w:val="Основной текст (10)_"/>
    <w:basedOn w:val="a0"/>
    <w:link w:val="100"/>
    <w:rsid w:val="00A6605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11">
    <w:name w:val="Основной текст (11)_"/>
    <w:basedOn w:val="a0"/>
    <w:link w:val="110"/>
    <w:rsid w:val="00A660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113pt">
    <w:name w:val="Основной текст (11) + 13 pt"/>
    <w:basedOn w:val="11"/>
    <w:rsid w:val="00A660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13pt0pt">
    <w:name w:val="Основной текст (11) + 13 pt;Курсив;Интервал 0 pt"/>
    <w:basedOn w:val="11"/>
    <w:rsid w:val="00A6605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A66053"/>
    <w:pPr>
      <w:shd w:val="clear" w:color="auto" w:fill="FFFFFF"/>
      <w:spacing w:before="240" w:line="325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A66053"/>
    <w:pPr>
      <w:shd w:val="clear" w:color="auto" w:fill="FFFFFF"/>
      <w:spacing w:before="180" w:after="60" w:line="0" w:lineRule="atLeast"/>
      <w:ind w:hanging="132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5">
    <w:name w:val="Колонтитул"/>
    <w:basedOn w:val="a"/>
    <w:link w:val="a4"/>
    <w:rsid w:val="00A66053"/>
    <w:pPr>
      <w:shd w:val="clear" w:color="auto" w:fill="FFFFFF"/>
      <w:spacing w:line="0" w:lineRule="atLeast"/>
    </w:pPr>
    <w:rPr>
      <w:rFonts w:ascii="Trebuchet MS" w:eastAsia="Trebuchet MS" w:hAnsi="Trebuchet MS" w:cs="Trebuchet MS"/>
    </w:rPr>
  </w:style>
  <w:style w:type="paragraph" w:customStyle="1" w:styleId="80">
    <w:name w:val="Основной текст (8)"/>
    <w:basedOn w:val="a"/>
    <w:link w:val="8"/>
    <w:rsid w:val="00A66053"/>
    <w:pPr>
      <w:shd w:val="clear" w:color="auto" w:fill="FFFFFF"/>
      <w:spacing w:line="168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90">
    <w:name w:val="Основной текст (9)"/>
    <w:basedOn w:val="a"/>
    <w:link w:val="9"/>
    <w:rsid w:val="00A66053"/>
    <w:pPr>
      <w:shd w:val="clear" w:color="auto" w:fill="FFFFFF"/>
      <w:spacing w:after="360" w:line="168" w:lineRule="exact"/>
    </w:pPr>
    <w:rPr>
      <w:rFonts w:ascii="Trebuchet MS" w:eastAsia="Trebuchet MS" w:hAnsi="Trebuchet MS" w:cs="Trebuchet MS"/>
      <w:b/>
      <w:bCs/>
      <w:sz w:val="17"/>
      <w:szCs w:val="17"/>
    </w:rPr>
  </w:style>
  <w:style w:type="paragraph" w:customStyle="1" w:styleId="100">
    <w:name w:val="Основной текст (10)"/>
    <w:basedOn w:val="a"/>
    <w:link w:val="10"/>
    <w:rsid w:val="00A66053"/>
    <w:pPr>
      <w:shd w:val="clear" w:color="auto" w:fill="FFFFFF"/>
      <w:spacing w:line="0" w:lineRule="atLeast"/>
      <w:jc w:val="both"/>
    </w:pPr>
    <w:rPr>
      <w:rFonts w:ascii="Trebuchet MS" w:eastAsia="Trebuchet MS" w:hAnsi="Trebuchet MS" w:cs="Trebuchet MS"/>
      <w:sz w:val="10"/>
      <w:szCs w:val="10"/>
    </w:rPr>
  </w:style>
  <w:style w:type="paragraph" w:customStyle="1" w:styleId="110">
    <w:name w:val="Основной текст (11)"/>
    <w:basedOn w:val="a"/>
    <w:link w:val="11"/>
    <w:rsid w:val="00A66053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styleId="a7">
    <w:name w:val="Balloon Text"/>
    <w:basedOn w:val="a"/>
    <w:link w:val="a8"/>
    <w:uiPriority w:val="99"/>
    <w:semiHidden/>
    <w:unhideWhenUsed/>
    <w:rsid w:val="00A77AE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7AEA"/>
    <w:rPr>
      <w:rFonts w:ascii="Tahoma" w:hAnsi="Tahoma" w:cs="Tahoma"/>
      <w:color w:val="000000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B9310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93109"/>
    <w:rPr>
      <w:color w:val="000000"/>
    </w:rPr>
  </w:style>
  <w:style w:type="paragraph" w:styleId="ab">
    <w:name w:val="footer"/>
    <w:basedOn w:val="a"/>
    <w:link w:val="ac"/>
    <w:uiPriority w:val="99"/>
    <w:unhideWhenUsed/>
    <w:rsid w:val="00B9310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93109"/>
    <w:rPr>
      <w:color w:val="000000"/>
    </w:rPr>
  </w:style>
  <w:style w:type="character" w:customStyle="1" w:styleId="25pt">
    <w:name w:val="Основной текст (2) + 5 pt"/>
    <w:basedOn w:val="a0"/>
    <w:rsid w:val="006603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8162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66053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A660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A660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Corbel12pt">
    <w:name w:val="Основной текст (2) + Corbel;12 pt"/>
    <w:basedOn w:val="2"/>
    <w:rsid w:val="00A66053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sid w:val="00A6605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Колонтитул"/>
    <w:basedOn w:val="a4"/>
    <w:rsid w:val="00A6605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A660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8TrebuchetMS85pt">
    <w:name w:val="Основной текст (8) + Trebuchet MS;8;5 pt;Полужирный"/>
    <w:basedOn w:val="8"/>
    <w:rsid w:val="00A66053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A66053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0"/>
      <w:sz w:val="17"/>
      <w:szCs w:val="17"/>
      <w:u w:val="none"/>
    </w:rPr>
  </w:style>
  <w:style w:type="character" w:customStyle="1" w:styleId="295pt">
    <w:name w:val="Основной текст (2) + 9;5 pt"/>
    <w:basedOn w:val="2"/>
    <w:rsid w:val="00A660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813pt">
    <w:name w:val="Основной текст (8) + 13 pt"/>
    <w:basedOn w:val="8"/>
    <w:rsid w:val="00A660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813pt0pt">
    <w:name w:val="Основной текст (8) + 13 pt;Курсив;Интервал 0 pt"/>
    <w:basedOn w:val="8"/>
    <w:rsid w:val="00A6605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">
    <w:name w:val="Основной текст (10)_"/>
    <w:basedOn w:val="a0"/>
    <w:link w:val="100"/>
    <w:rsid w:val="00A6605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11">
    <w:name w:val="Основной текст (11)_"/>
    <w:basedOn w:val="a0"/>
    <w:link w:val="110"/>
    <w:rsid w:val="00A660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113pt">
    <w:name w:val="Основной текст (11) + 13 pt"/>
    <w:basedOn w:val="11"/>
    <w:rsid w:val="00A660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13pt0pt">
    <w:name w:val="Основной текст (11) + 13 pt;Курсив;Интервал 0 pt"/>
    <w:basedOn w:val="11"/>
    <w:rsid w:val="00A6605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A66053"/>
    <w:pPr>
      <w:shd w:val="clear" w:color="auto" w:fill="FFFFFF"/>
      <w:spacing w:before="240" w:line="325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A66053"/>
    <w:pPr>
      <w:shd w:val="clear" w:color="auto" w:fill="FFFFFF"/>
      <w:spacing w:before="180" w:after="60" w:line="0" w:lineRule="atLeast"/>
      <w:ind w:hanging="132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5">
    <w:name w:val="Колонтитул"/>
    <w:basedOn w:val="a"/>
    <w:link w:val="a4"/>
    <w:rsid w:val="00A66053"/>
    <w:pPr>
      <w:shd w:val="clear" w:color="auto" w:fill="FFFFFF"/>
      <w:spacing w:line="0" w:lineRule="atLeast"/>
    </w:pPr>
    <w:rPr>
      <w:rFonts w:ascii="Trebuchet MS" w:eastAsia="Trebuchet MS" w:hAnsi="Trebuchet MS" w:cs="Trebuchet MS"/>
    </w:rPr>
  </w:style>
  <w:style w:type="paragraph" w:customStyle="1" w:styleId="80">
    <w:name w:val="Основной текст (8)"/>
    <w:basedOn w:val="a"/>
    <w:link w:val="8"/>
    <w:rsid w:val="00A66053"/>
    <w:pPr>
      <w:shd w:val="clear" w:color="auto" w:fill="FFFFFF"/>
      <w:spacing w:line="168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90">
    <w:name w:val="Основной текст (9)"/>
    <w:basedOn w:val="a"/>
    <w:link w:val="9"/>
    <w:rsid w:val="00A66053"/>
    <w:pPr>
      <w:shd w:val="clear" w:color="auto" w:fill="FFFFFF"/>
      <w:spacing w:after="360" w:line="168" w:lineRule="exact"/>
    </w:pPr>
    <w:rPr>
      <w:rFonts w:ascii="Trebuchet MS" w:eastAsia="Trebuchet MS" w:hAnsi="Trebuchet MS" w:cs="Trebuchet MS"/>
      <w:b/>
      <w:bCs/>
      <w:sz w:val="17"/>
      <w:szCs w:val="17"/>
    </w:rPr>
  </w:style>
  <w:style w:type="paragraph" w:customStyle="1" w:styleId="100">
    <w:name w:val="Основной текст (10)"/>
    <w:basedOn w:val="a"/>
    <w:link w:val="10"/>
    <w:rsid w:val="00A66053"/>
    <w:pPr>
      <w:shd w:val="clear" w:color="auto" w:fill="FFFFFF"/>
      <w:spacing w:line="0" w:lineRule="atLeast"/>
      <w:jc w:val="both"/>
    </w:pPr>
    <w:rPr>
      <w:rFonts w:ascii="Trebuchet MS" w:eastAsia="Trebuchet MS" w:hAnsi="Trebuchet MS" w:cs="Trebuchet MS"/>
      <w:sz w:val="10"/>
      <w:szCs w:val="10"/>
    </w:rPr>
  </w:style>
  <w:style w:type="paragraph" w:customStyle="1" w:styleId="110">
    <w:name w:val="Основной текст (11)"/>
    <w:basedOn w:val="a"/>
    <w:link w:val="11"/>
    <w:rsid w:val="00A66053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styleId="a7">
    <w:name w:val="Balloon Text"/>
    <w:basedOn w:val="a"/>
    <w:link w:val="a8"/>
    <w:uiPriority w:val="99"/>
    <w:semiHidden/>
    <w:unhideWhenUsed/>
    <w:rsid w:val="00A77AE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7AEA"/>
    <w:rPr>
      <w:rFonts w:ascii="Tahoma" w:hAnsi="Tahoma" w:cs="Tahoma"/>
      <w:color w:val="000000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B9310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93109"/>
    <w:rPr>
      <w:color w:val="000000"/>
    </w:rPr>
  </w:style>
  <w:style w:type="paragraph" w:styleId="ab">
    <w:name w:val="footer"/>
    <w:basedOn w:val="a"/>
    <w:link w:val="ac"/>
    <w:uiPriority w:val="99"/>
    <w:unhideWhenUsed/>
    <w:rsid w:val="00B9310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93109"/>
    <w:rPr>
      <w:color w:val="000000"/>
    </w:rPr>
  </w:style>
  <w:style w:type="character" w:customStyle="1" w:styleId="25pt">
    <w:name w:val="Основной текст (2) + 5 pt"/>
    <w:basedOn w:val="a0"/>
    <w:rsid w:val="006603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E4CEE-E369-4361-B117-323E0C303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1267</Words>
  <Characters>7224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Евгеньевна Рыбникова</dc:creator>
  <cp:lastModifiedBy>Александр</cp:lastModifiedBy>
  <cp:revision>3</cp:revision>
  <cp:lastPrinted>2025-03-20T08:35:00Z</cp:lastPrinted>
  <dcterms:created xsi:type="dcterms:W3CDTF">2025-03-20T08:35:00Z</dcterms:created>
  <dcterms:modified xsi:type="dcterms:W3CDTF">2025-03-20T08:39:00Z</dcterms:modified>
</cp:coreProperties>
</file>